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5CB3A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bookmarkStart w:id="0" w:name="OLE_LINK19"/>
      <w:bookmarkStart w:id="1" w:name="OLE_LINK40"/>
      <w:bookmarkStart w:id="47" w:name="_GoBack"/>
      <w:bookmarkEnd w:id="47"/>
      <w:r>
        <w:rPr>
          <w:rFonts w:hint="eastAsia" w:ascii="方正小标宋简体" w:hAnsi="方正小标宋简体" w:eastAsia="方正小标宋简体" w:cs="方正小标宋简体"/>
          <w:color w:val="auto"/>
          <w:sz w:val="44"/>
          <w:szCs w:val="44"/>
          <w:highlight w:val="none"/>
          <w:lang w:val="en-US" w:eastAsia="zh-CN"/>
        </w:rPr>
        <w:t>苏州市公共资源交易中心张家港分中心</w:t>
      </w:r>
    </w:p>
    <w:p w14:paraId="6B79E8F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代理机构进场交易行为评价管理办法（试行）</w:t>
      </w:r>
      <w:bookmarkEnd w:id="0"/>
      <w:r>
        <w:rPr>
          <w:rFonts w:hint="eastAsia" w:ascii="方正小标宋简体" w:hAnsi="方正小标宋简体" w:eastAsia="方正小标宋简体" w:cs="方正小标宋简体"/>
          <w:color w:val="auto"/>
          <w:sz w:val="44"/>
          <w:szCs w:val="44"/>
          <w:highlight w:val="none"/>
          <w:lang w:val="en-US" w:eastAsia="zh-CN"/>
        </w:rPr>
        <w:t>（征求意见稿）</w:t>
      </w:r>
    </w:p>
    <w:bookmarkEnd w:id="1"/>
    <w:p w14:paraId="1443521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p>
    <w:p w14:paraId="35212C52">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黑体" w:hAnsi="黑体" w:eastAsia="黑体" w:cs="黑体"/>
          <w:b w:val="0"/>
          <w:bCs/>
          <w:i w:val="0"/>
          <w:caps w:val="0"/>
          <w:color w:val="auto"/>
          <w:spacing w:val="0"/>
          <w:sz w:val="32"/>
          <w:szCs w:val="32"/>
          <w:highlight w:val="none"/>
          <w:lang w:val="en-US" w:eastAsia="zh-CN"/>
        </w:rPr>
      </w:pPr>
      <w:r>
        <w:rPr>
          <w:rFonts w:hint="eastAsia" w:ascii="黑体" w:hAnsi="黑体" w:eastAsia="黑体" w:cs="黑体"/>
          <w:b w:val="0"/>
          <w:bCs/>
          <w:i w:val="0"/>
          <w:caps w:val="0"/>
          <w:color w:val="auto"/>
          <w:spacing w:val="0"/>
          <w:kern w:val="0"/>
          <w:sz w:val="32"/>
          <w:szCs w:val="32"/>
          <w:highlight w:val="none"/>
          <w:lang w:val="en-US" w:eastAsia="zh-CN" w:bidi="ar"/>
        </w:rPr>
        <w:t xml:space="preserve">第一章 </w:t>
      </w:r>
      <w:r>
        <w:rPr>
          <w:rFonts w:hint="eastAsia" w:ascii="黑体" w:hAnsi="黑体" w:eastAsia="黑体" w:cs="黑体"/>
          <w:b w:val="0"/>
          <w:bCs/>
          <w:i w:val="0"/>
          <w:caps w:val="0"/>
          <w:color w:val="auto"/>
          <w:spacing w:val="0"/>
          <w:sz w:val="32"/>
          <w:szCs w:val="32"/>
          <w:highlight w:val="none"/>
          <w:lang w:val="en-US" w:eastAsia="zh-CN"/>
        </w:rPr>
        <w:t>总  则</w:t>
      </w:r>
    </w:p>
    <w:p w14:paraId="1818261E">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rPr>
        <w:t>为</w:t>
      </w:r>
      <w:bookmarkStart w:id="2" w:name="OLE_LINK38"/>
      <w:r>
        <w:rPr>
          <w:rFonts w:hint="eastAsia" w:ascii="仿宋_GB2312" w:hAnsi="仿宋_GB2312" w:eastAsia="仿宋_GB2312" w:cs="仿宋_GB2312"/>
          <w:color w:val="auto"/>
          <w:kern w:val="0"/>
          <w:sz w:val="32"/>
          <w:szCs w:val="32"/>
          <w:highlight w:val="none"/>
          <w:lang w:val="en-US" w:eastAsia="zh-CN"/>
        </w:rPr>
        <w:t>维护公共资源交易秩序和市场主体合法权益,进一步规范公共资源交易代理机构进场交易行为，提高代理机构工作质量和服务水平，</w:t>
      </w:r>
      <w:bookmarkEnd w:id="2"/>
      <w:r>
        <w:rPr>
          <w:rFonts w:hint="eastAsia" w:ascii="仿宋_GB2312" w:hAnsi="仿宋_GB2312" w:eastAsia="仿宋_GB2312" w:cs="仿宋_GB2312"/>
          <w:color w:val="auto"/>
          <w:kern w:val="0"/>
          <w:sz w:val="32"/>
          <w:szCs w:val="32"/>
          <w:highlight w:val="none"/>
        </w:rPr>
        <w:t>依据《中华人民共和国招标投标法》、《中华人民共和国政府采购法》《中华人民共和国招标投标法</w:t>
      </w:r>
      <w:r>
        <w:rPr>
          <w:rFonts w:hint="eastAsia" w:ascii="仿宋_GB2312" w:hAnsi="仿宋_GB2312" w:eastAsia="仿宋_GB2312" w:cs="仿宋_GB2312"/>
          <w:color w:val="auto"/>
          <w:kern w:val="0"/>
          <w:sz w:val="32"/>
          <w:szCs w:val="32"/>
          <w:highlight w:val="none"/>
          <w:lang w:val="en-US" w:eastAsia="zh-CN"/>
        </w:rPr>
        <w:t>实施条例</w:t>
      </w:r>
      <w:r>
        <w:rPr>
          <w:rFonts w:hint="eastAsia" w:ascii="仿宋_GB2312" w:hAnsi="仿宋_GB2312" w:eastAsia="仿宋_GB2312" w:cs="仿宋_GB2312"/>
          <w:color w:val="auto"/>
          <w:kern w:val="0"/>
          <w:sz w:val="32"/>
          <w:szCs w:val="32"/>
          <w:highlight w:val="none"/>
        </w:rPr>
        <w:t>》《中华人民共和国政府采购法实施条例》</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江苏省招标投标条例</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及其它相关法律、法规，结合</w:t>
      </w:r>
      <w:r>
        <w:rPr>
          <w:rFonts w:hint="eastAsia" w:ascii="仿宋_GB2312" w:hAnsi="仿宋_GB2312" w:eastAsia="仿宋_GB2312" w:cs="仿宋_GB2312"/>
          <w:color w:val="auto"/>
          <w:kern w:val="0"/>
          <w:sz w:val="32"/>
          <w:szCs w:val="32"/>
          <w:highlight w:val="none"/>
          <w:lang w:val="en-US" w:eastAsia="zh-CN"/>
        </w:rPr>
        <w:t>中心工作</w:t>
      </w:r>
      <w:r>
        <w:rPr>
          <w:rFonts w:hint="eastAsia" w:ascii="仿宋_GB2312" w:hAnsi="仿宋_GB2312" w:eastAsia="仿宋_GB2312" w:cs="仿宋_GB2312"/>
          <w:color w:val="auto"/>
          <w:kern w:val="0"/>
          <w:sz w:val="32"/>
          <w:szCs w:val="32"/>
          <w:highlight w:val="none"/>
        </w:rPr>
        <w:t>实际，</w:t>
      </w:r>
      <w:r>
        <w:rPr>
          <w:rFonts w:hint="eastAsia" w:ascii="仿宋_GB2312" w:hAnsi="仿宋_GB2312" w:eastAsia="仿宋_GB2312" w:cs="仿宋_GB2312"/>
          <w:color w:val="auto"/>
          <w:kern w:val="0"/>
          <w:sz w:val="32"/>
          <w:szCs w:val="32"/>
          <w:highlight w:val="none"/>
          <w:lang w:val="en-US" w:eastAsia="zh-CN"/>
        </w:rPr>
        <w:t>制定本办法。</w:t>
      </w:r>
    </w:p>
    <w:p w14:paraId="31EB77FE">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本办法适用于进入苏州市公共资源交易中心张家港分中心(以下简称“交易中心”)从事</w:t>
      </w:r>
      <w:r>
        <w:rPr>
          <w:rFonts w:hint="eastAsia" w:ascii="仿宋_GB2312" w:hAnsi="仿宋_GB2312" w:eastAsia="仿宋_GB2312" w:cs="仿宋_GB2312"/>
          <w:color w:val="auto"/>
          <w:kern w:val="0"/>
          <w:sz w:val="32"/>
          <w:szCs w:val="32"/>
          <w:highlight w:val="none"/>
          <w:lang w:val="en-US" w:eastAsia="zh-CN"/>
        </w:rPr>
        <w:t>工程招投标、政府采购、限额以下（国企采购）公共资源交易</w:t>
      </w:r>
      <w:r>
        <w:rPr>
          <w:rFonts w:hint="eastAsia" w:ascii="仿宋_GB2312" w:hAnsi="仿宋_GB2312" w:eastAsia="仿宋_GB2312" w:cs="仿宋_GB2312"/>
          <w:color w:val="auto"/>
          <w:kern w:val="0"/>
          <w:sz w:val="32"/>
          <w:szCs w:val="32"/>
          <w:highlight w:val="none"/>
          <w:lang w:val="en-US" w:eastAsia="zh-CN"/>
        </w:rPr>
        <w:t>等公共资源交易项目代理业务的社会中介代理机构。</w:t>
      </w:r>
    </w:p>
    <w:p w14:paraId="0E653CE8">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交易中心负责对场内组织交易活动的代理机构进行见证评价。</w:t>
      </w:r>
      <w:r>
        <w:rPr>
          <w:rFonts w:hint="eastAsia" w:ascii="仿宋_GB2312" w:hAnsi="仿宋_GB2312" w:eastAsia="仿宋_GB2312" w:cs="仿宋_GB2312"/>
          <w:b w:val="0"/>
          <w:bCs w:val="0"/>
          <w:color w:val="auto"/>
          <w:sz w:val="32"/>
          <w:szCs w:val="32"/>
          <w:highlight w:val="none"/>
          <w:lang w:val="en-US" w:eastAsia="zh-CN"/>
        </w:rPr>
        <w:t>代理机构进场</w:t>
      </w:r>
      <w:r>
        <w:rPr>
          <w:rFonts w:hint="eastAsia" w:ascii="仿宋_GB2312" w:hAnsi="仿宋_GB2312" w:eastAsia="仿宋_GB2312" w:cs="仿宋_GB2312"/>
          <w:b w:val="0"/>
          <w:bCs w:val="0"/>
          <w:color w:val="auto"/>
          <w:sz w:val="32"/>
          <w:szCs w:val="32"/>
          <w:highlight w:val="none"/>
          <w:lang w:eastAsia="zh-CN"/>
        </w:rPr>
        <w:t>交易行为</w:t>
      </w:r>
      <w:r>
        <w:rPr>
          <w:rFonts w:hint="eastAsia" w:ascii="仿宋_GB2312" w:hAnsi="仿宋_GB2312" w:eastAsia="仿宋_GB2312" w:cs="仿宋_GB2312"/>
          <w:b w:val="0"/>
          <w:bCs w:val="0"/>
          <w:color w:val="auto"/>
          <w:sz w:val="32"/>
          <w:szCs w:val="32"/>
          <w:highlight w:val="none"/>
        </w:rPr>
        <w:t>涉及</w:t>
      </w:r>
      <w:r>
        <w:rPr>
          <w:rFonts w:hint="eastAsia" w:ascii="仿宋_GB2312" w:hAnsi="仿宋_GB2312" w:eastAsia="仿宋_GB2312" w:cs="仿宋_GB2312"/>
          <w:b w:val="0"/>
          <w:bCs w:val="0"/>
          <w:color w:val="auto"/>
          <w:sz w:val="32"/>
          <w:szCs w:val="32"/>
          <w:highlight w:val="none"/>
          <w:lang w:val="en-US" w:eastAsia="zh-CN"/>
        </w:rPr>
        <w:t>相关监管</w:t>
      </w:r>
      <w:r>
        <w:rPr>
          <w:rFonts w:hint="eastAsia" w:ascii="仿宋_GB2312" w:hAnsi="仿宋_GB2312" w:eastAsia="仿宋_GB2312" w:cs="仿宋_GB2312"/>
          <w:b w:val="0"/>
          <w:bCs w:val="0"/>
          <w:color w:val="auto"/>
          <w:sz w:val="32"/>
          <w:szCs w:val="32"/>
          <w:highlight w:val="none"/>
        </w:rPr>
        <w:t>部门职能的，交易中心如实记录后报</w:t>
      </w:r>
      <w:r>
        <w:rPr>
          <w:rFonts w:hint="eastAsia" w:ascii="仿宋_GB2312" w:hAnsi="仿宋_GB2312" w:eastAsia="仿宋_GB2312" w:cs="仿宋_GB2312"/>
          <w:b w:val="0"/>
          <w:bCs w:val="0"/>
          <w:color w:val="auto"/>
          <w:sz w:val="32"/>
          <w:szCs w:val="32"/>
          <w:highlight w:val="none"/>
          <w:lang w:val="en-US" w:eastAsia="zh-CN"/>
        </w:rPr>
        <w:t>相关监管</w:t>
      </w:r>
      <w:r>
        <w:rPr>
          <w:rFonts w:hint="eastAsia" w:ascii="仿宋_GB2312" w:hAnsi="仿宋_GB2312" w:eastAsia="仿宋_GB2312" w:cs="仿宋_GB2312"/>
          <w:b w:val="0"/>
          <w:bCs w:val="0"/>
          <w:color w:val="auto"/>
          <w:sz w:val="32"/>
          <w:szCs w:val="32"/>
          <w:highlight w:val="none"/>
        </w:rPr>
        <w:t>部门依法</w:t>
      </w:r>
      <w:r>
        <w:rPr>
          <w:rFonts w:hint="eastAsia" w:ascii="仿宋_GB2312" w:hAnsi="仿宋_GB2312" w:eastAsia="仿宋_GB2312" w:cs="仿宋_GB2312"/>
          <w:b w:val="0"/>
          <w:bCs w:val="0"/>
          <w:color w:val="auto"/>
          <w:sz w:val="32"/>
          <w:szCs w:val="32"/>
          <w:highlight w:val="none"/>
          <w:lang w:val="en-US" w:eastAsia="zh-CN"/>
        </w:rPr>
        <w:t>依规</w:t>
      </w:r>
      <w:r>
        <w:rPr>
          <w:rFonts w:hint="eastAsia" w:ascii="仿宋_GB2312" w:hAnsi="仿宋_GB2312" w:eastAsia="仿宋_GB2312" w:cs="仿宋_GB2312"/>
          <w:b w:val="0"/>
          <w:bCs w:val="0"/>
          <w:color w:val="auto"/>
          <w:sz w:val="32"/>
          <w:szCs w:val="32"/>
          <w:highlight w:val="none"/>
        </w:rPr>
        <w:t>处理。</w:t>
      </w:r>
    </w:p>
    <w:p w14:paraId="09B26BE9">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代理机构应当自觉遵守公共资源交易管理的有关法律、法规，遵循公开、公平、公正和诚实信用原则，依法开展公共资源交易代理服务工作，并严格遵守交易中心各项规章制度。</w:t>
      </w:r>
    </w:p>
    <w:p w14:paraId="416B352A">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jc w:val="center"/>
        <w:textAlignment w:val="auto"/>
        <w:rPr>
          <w:rFonts w:hint="default"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第二章  进场从业准则</w:t>
      </w:r>
    </w:p>
    <w:p w14:paraId="1AAB6157">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代理机构进入交易中心开展业务活动时，签订进场交易行为规范承诺书(见附件1)，切实履行承诺责任制。</w:t>
      </w:r>
    </w:p>
    <w:p w14:paraId="0600FB74">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代理机构进场开展业务前，</w:t>
      </w:r>
      <w:r>
        <w:rPr>
          <w:rFonts w:hint="eastAsia" w:ascii="仿宋_GB2312" w:hAnsi="仿宋_GB2312" w:eastAsia="仿宋_GB2312" w:cs="仿宋_GB2312"/>
          <w:color w:val="auto"/>
          <w:kern w:val="0"/>
          <w:sz w:val="32"/>
          <w:szCs w:val="32"/>
          <w:highlight w:val="none"/>
          <w:lang w:val="en-US" w:eastAsia="zh-CN"/>
        </w:rPr>
        <w:t>应</w:t>
      </w:r>
      <w:r>
        <w:rPr>
          <w:rFonts w:hint="eastAsia" w:ascii="仿宋_GB2312" w:hAnsi="仿宋_GB2312" w:eastAsia="仿宋_GB2312" w:cs="仿宋_GB2312"/>
          <w:color w:val="auto"/>
          <w:kern w:val="0"/>
          <w:sz w:val="32"/>
          <w:szCs w:val="32"/>
          <w:highlight w:val="none"/>
          <w:lang w:val="en-US" w:eastAsia="zh-CN"/>
        </w:rPr>
        <w:t>提前在</w:t>
      </w:r>
      <w:bookmarkStart w:id="3" w:name="OLE_LINK6"/>
      <w:r>
        <w:rPr>
          <w:rFonts w:hint="eastAsia" w:ascii="仿宋_GB2312" w:hAnsi="仿宋_GB2312" w:eastAsia="仿宋_GB2312" w:cs="仿宋_GB2312"/>
          <w:color w:val="auto"/>
          <w:kern w:val="0"/>
          <w:sz w:val="32"/>
          <w:szCs w:val="32"/>
          <w:highlight w:val="none"/>
          <w:lang w:val="en-US" w:eastAsia="zh-CN"/>
        </w:rPr>
        <w:t>公共资源交易平台主体信息库</w:t>
      </w:r>
      <w:bookmarkEnd w:id="3"/>
      <w:r>
        <w:rPr>
          <w:rFonts w:hint="eastAsia" w:ascii="仿宋_GB2312" w:hAnsi="仿宋_GB2312" w:eastAsia="仿宋_GB2312" w:cs="仿宋_GB2312"/>
          <w:color w:val="auto"/>
          <w:kern w:val="0"/>
          <w:sz w:val="32"/>
          <w:szCs w:val="32"/>
          <w:highlight w:val="none"/>
          <w:lang w:val="en-US" w:eastAsia="zh-CN"/>
        </w:rPr>
        <w:t>进行</w:t>
      </w:r>
      <w:r>
        <w:rPr>
          <w:rFonts w:hint="eastAsia" w:ascii="仿宋_GB2312" w:hAnsi="仿宋_GB2312" w:eastAsia="仿宋_GB2312" w:cs="仿宋_GB2312"/>
          <w:color w:val="auto"/>
          <w:kern w:val="0"/>
          <w:sz w:val="32"/>
          <w:szCs w:val="32"/>
          <w:highlight w:val="none"/>
          <w:lang w:val="en-US" w:eastAsia="zh-CN"/>
        </w:rPr>
        <w:t>信息录入</w:t>
      </w:r>
      <w:r>
        <w:rPr>
          <w:rFonts w:hint="eastAsia" w:ascii="仿宋_GB2312" w:hAnsi="仿宋_GB2312" w:eastAsia="仿宋_GB2312" w:cs="仿宋_GB2312"/>
          <w:color w:val="auto"/>
          <w:kern w:val="0"/>
          <w:sz w:val="32"/>
          <w:szCs w:val="32"/>
          <w:highlight w:val="none"/>
          <w:lang w:val="en-US" w:eastAsia="zh-CN"/>
        </w:rPr>
        <w:t>并上传相关证明资料，完善相关从业人员信息，并对信息的真实性、准确性、完整性负责，</w:t>
      </w:r>
      <w:r>
        <w:rPr>
          <w:rFonts w:hint="eastAsia" w:ascii="仿宋_GB2312" w:hAnsi="仿宋_GB2312" w:eastAsia="仿宋_GB2312" w:cs="仿宋_GB2312"/>
          <w:color w:val="auto"/>
          <w:kern w:val="0"/>
          <w:sz w:val="32"/>
          <w:szCs w:val="32"/>
          <w:highlight w:val="none"/>
          <w:lang w:val="en-US" w:eastAsia="zh-CN"/>
        </w:rPr>
        <w:t>并及时更新相关信息。</w:t>
      </w:r>
    </w:p>
    <w:p w14:paraId="2A369F9C">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代理机构从业人员应当具备专业知识和职业操守，熟悉代理业务、遵守法律法规、熟练</w:t>
      </w:r>
      <w:r>
        <w:rPr>
          <w:rFonts w:hint="eastAsia" w:ascii="仿宋_GB2312" w:hAnsi="仿宋_GB2312" w:eastAsia="仿宋_GB2312" w:cs="仿宋_GB2312"/>
          <w:color w:val="auto"/>
          <w:kern w:val="0"/>
          <w:sz w:val="32"/>
          <w:szCs w:val="32"/>
          <w:highlight w:val="none"/>
          <w:lang w:val="en-US" w:eastAsia="zh-CN"/>
        </w:rPr>
        <w:t>掌握操作各专业交易软件的技能并能适应软件更新，参加</w:t>
      </w:r>
      <w:r>
        <w:rPr>
          <w:rFonts w:hint="eastAsia" w:ascii="仿宋_GB2312" w:hAnsi="仿宋_GB2312" w:eastAsia="仿宋_GB2312" w:cs="仿宋_GB2312"/>
          <w:b w:val="0"/>
          <w:bCs w:val="0"/>
          <w:color w:val="auto"/>
          <w:sz w:val="32"/>
          <w:szCs w:val="32"/>
          <w:highlight w:val="none"/>
        </w:rPr>
        <w:t>业务知识和操作技能培训</w:t>
      </w:r>
      <w:r>
        <w:rPr>
          <w:rFonts w:hint="eastAsia" w:ascii="仿宋_GB2312" w:hAnsi="仿宋_GB2312" w:eastAsia="仿宋_GB2312" w:cs="仿宋_GB2312"/>
          <w:color w:val="auto"/>
          <w:kern w:val="0"/>
          <w:sz w:val="32"/>
          <w:szCs w:val="32"/>
          <w:highlight w:val="none"/>
          <w:lang w:val="en-US" w:eastAsia="zh-CN"/>
        </w:rPr>
        <w:t>。</w:t>
      </w:r>
    </w:p>
    <w:p w14:paraId="2D48DDB2">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代理机构进场交易应遵守以下规定：</w:t>
      </w:r>
    </w:p>
    <w:p w14:paraId="3057B581">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遵守相关法律法规及行业规范标准，遵守交易现场的各项管理制度。</w:t>
      </w:r>
    </w:p>
    <w:p w14:paraId="1B7EDC20">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sz w:val="31"/>
          <w:szCs w:val="31"/>
          <w:highlight w:val="none"/>
          <w:lang w:eastAsia="zh-CN"/>
        </w:rPr>
      </w:pPr>
      <w:r>
        <w:rPr>
          <w:rFonts w:hint="eastAsia" w:ascii="仿宋_GB2312" w:hAnsi="仿宋_GB2312" w:eastAsia="仿宋_GB2312" w:cs="仿宋_GB2312"/>
          <w:color w:val="auto"/>
          <w:kern w:val="0"/>
          <w:sz w:val="32"/>
          <w:szCs w:val="32"/>
          <w:highlight w:val="none"/>
          <w:lang w:val="en-US" w:eastAsia="zh-CN"/>
        </w:rPr>
        <w:t>依法依规按程序组织开展交易活动</w:t>
      </w:r>
      <w:r>
        <w:rPr>
          <w:rFonts w:ascii="仿宋_GB2312" w:hAnsi="仿宋_GB2312" w:eastAsia="仿宋_GB2312" w:cs="仿宋_GB2312"/>
          <w:b w:val="0"/>
          <w:bCs w:val="0"/>
          <w:color w:val="auto"/>
          <w:sz w:val="31"/>
          <w:szCs w:val="31"/>
          <w:highlight w:val="none"/>
        </w:rPr>
        <w:t>，自觉接受相关部门（单位）的监督管理</w:t>
      </w:r>
      <w:r>
        <w:rPr>
          <w:rFonts w:hint="eastAsia" w:ascii="仿宋_GB2312" w:hAnsi="仿宋_GB2312" w:eastAsia="仿宋_GB2312" w:cs="仿宋_GB2312"/>
          <w:b w:val="0"/>
          <w:bCs w:val="0"/>
          <w:color w:val="auto"/>
          <w:sz w:val="31"/>
          <w:szCs w:val="31"/>
          <w:highlight w:val="none"/>
          <w:lang w:eastAsia="zh-CN"/>
        </w:rPr>
        <w:t>。</w:t>
      </w:r>
    </w:p>
    <w:p w14:paraId="428A0D98">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依照受托合同范围提供服务和保障。</w:t>
      </w:r>
    </w:p>
    <w:p w14:paraId="1AFA5668">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kern w:val="0"/>
          <w:sz w:val="32"/>
          <w:szCs w:val="32"/>
          <w:highlight w:val="none"/>
          <w:lang w:val="en-US" w:eastAsia="zh-CN"/>
        </w:rPr>
      </w:pPr>
      <w:bookmarkStart w:id="4" w:name="OLE_LINK17"/>
      <w:r>
        <w:rPr>
          <w:rFonts w:hint="eastAsia" w:ascii="仿宋_GB2312" w:hAnsi="仿宋_GB2312" w:eastAsia="仿宋_GB2312" w:cs="仿宋_GB2312"/>
          <w:color w:val="auto"/>
          <w:kern w:val="0"/>
          <w:sz w:val="32"/>
          <w:szCs w:val="32"/>
          <w:highlight w:val="none"/>
          <w:lang w:val="en-US" w:eastAsia="zh-CN"/>
        </w:rPr>
        <w:t>遵守社会公德</w:t>
      </w:r>
      <w:bookmarkEnd w:id="4"/>
      <w:r>
        <w:rPr>
          <w:rFonts w:hint="eastAsia" w:ascii="仿宋_GB2312" w:hAnsi="仿宋_GB2312" w:eastAsia="仿宋_GB2312" w:cs="仿宋_GB2312"/>
          <w:color w:val="auto"/>
          <w:kern w:val="0"/>
          <w:sz w:val="32"/>
          <w:szCs w:val="32"/>
          <w:highlight w:val="none"/>
          <w:lang w:val="en-US" w:eastAsia="zh-CN"/>
        </w:rPr>
        <w:t>，自觉维护公共场所安全和秩序，爱护公共卫生和公共财产，配合做好交易现场突发情况应急处置工作。</w:t>
      </w:r>
    </w:p>
    <w:p w14:paraId="3A731C1B">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相关法律、法规、规章和规范性文件规定的其他义务。</w:t>
      </w:r>
    </w:p>
    <w:p w14:paraId="6B40C9C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color w:val="auto"/>
          <w:kern w:val="0"/>
          <w:sz w:val="32"/>
          <w:szCs w:val="32"/>
          <w:highlight w:val="none"/>
          <w:lang w:val="en-US" w:eastAsia="zh-CN"/>
        </w:rPr>
      </w:pPr>
      <w:r>
        <w:rPr>
          <w:rFonts w:hint="eastAsia" w:ascii="黑体" w:hAnsi="黑体" w:eastAsia="黑体" w:cs="黑体"/>
          <w:b w:val="0"/>
          <w:bCs/>
          <w:i w:val="0"/>
          <w:caps w:val="0"/>
          <w:color w:val="auto"/>
          <w:spacing w:val="0"/>
          <w:sz w:val="32"/>
          <w:szCs w:val="32"/>
          <w:highlight w:val="none"/>
          <w:lang w:val="en-US" w:eastAsia="zh-CN"/>
        </w:rPr>
        <w:t>第三章 进场交易行为规范</w:t>
      </w:r>
    </w:p>
    <w:p w14:paraId="2621F924">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代理机构需通过</w:t>
      </w:r>
      <w:r>
        <w:rPr>
          <w:rFonts w:hint="eastAsia" w:ascii="仿宋_GB2312" w:hAnsi="仿宋_GB2312" w:eastAsia="仿宋_GB2312" w:cs="仿宋_GB2312"/>
          <w:color w:val="auto"/>
          <w:kern w:val="0"/>
          <w:sz w:val="32"/>
          <w:szCs w:val="32"/>
          <w:highlight w:val="none"/>
          <w:lang w:val="en-US" w:eastAsia="zh-CN"/>
        </w:rPr>
        <w:t>交易中心场地预约系统提前预约开评标室。若不能按时开标、评标的，应至少提前1天变更或者取消场地。</w:t>
      </w:r>
    </w:p>
    <w:p w14:paraId="2CEAED3D">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560" w:lineRule="exact"/>
        <w:ind w:left="0" w:leftChars="0" w:firstLine="62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b w:val="0"/>
          <w:bCs w:val="0"/>
          <w:color w:val="auto"/>
          <w:sz w:val="31"/>
          <w:szCs w:val="31"/>
          <w:highlight w:val="none"/>
          <w:lang w:val="en-US" w:eastAsia="zh-CN"/>
        </w:rPr>
        <w:t>项目开标时，代理该项目的人员</w:t>
      </w:r>
      <w:r>
        <w:rPr>
          <w:rFonts w:ascii="仿宋_GB2312" w:hAnsi="仿宋_GB2312" w:eastAsia="仿宋_GB2312" w:cs="仿宋_GB2312"/>
          <w:b w:val="0"/>
          <w:bCs w:val="0"/>
          <w:color w:val="auto"/>
          <w:sz w:val="31"/>
          <w:szCs w:val="31"/>
          <w:highlight w:val="none"/>
        </w:rPr>
        <w:t>应</w:t>
      </w:r>
      <w:r>
        <w:rPr>
          <w:rFonts w:hint="eastAsia" w:ascii="仿宋_GB2312" w:hAnsi="仿宋_GB2312" w:eastAsia="仿宋_GB2312" w:cs="仿宋_GB2312"/>
          <w:b w:val="0"/>
          <w:bCs w:val="0"/>
          <w:color w:val="auto"/>
          <w:sz w:val="31"/>
          <w:szCs w:val="31"/>
          <w:highlight w:val="none"/>
          <w:lang w:val="en-US" w:eastAsia="zh-CN"/>
        </w:rPr>
        <w:t>提前</w:t>
      </w:r>
      <w:r>
        <w:rPr>
          <w:rFonts w:hint="eastAsia" w:ascii="仿宋_GB2312" w:hAnsi="仿宋_GB2312" w:eastAsia="仿宋_GB2312" w:cs="仿宋_GB2312"/>
          <w:color w:val="auto"/>
          <w:kern w:val="0"/>
          <w:sz w:val="32"/>
          <w:szCs w:val="32"/>
          <w:highlight w:val="none"/>
          <w:lang w:val="en-US" w:eastAsia="zh-CN"/>
        </w:rPr>
        <w:t>到达预约的开标室</w:t>
      </w:r>
      <w:r>
        <w:rPr>
          <w:rFonts w:ascii="仿宋_GB2312" w:hAnsi="仿宋_GB2312" w:eastAsia="仿宋_GB2312" w:cs="仿宋_GB2312"/>
          <w:b w:val="0"/>
          <w:bCs w:val="0"/>
          <w:color w:val="auto"/>
          <w:sz w:val="31"/>
          <w:szCs w:val="31"/>
          <w:highlight w:val="none"/>
        </w:rPr>
        <w:t>做好组织准备工作</w:t>
      </w:r>
      <w:r>
        <w:rPr>
          <w:rFonts w:hint="eastAsia" w:ascii="仿宋_GB2312" w:hAnsi="仿宋_GB2312" w:eastAsia="仿宋_GB2312" w:cs="仿宋_GB2312"/>
          <w:b w:val="0"/>
          <w:bCs w:val="0"/>
          <w:color w:val="auto"/>
          <w:sz w:val="31"/>
          <w:szCs w:val="31"/>
          <w:highlight w:val="none"/>
          <w:lang w:eastAsia="zh-CN"/>
        </w:rPr>
        <w:t>。</w:t>
      </w:r>
      <w:r>
        <w:rPr>
          <w:rFonts w:hint="eastAsia" w:ascii="仿宋_GB2312" w:hAnsi="仿宋_GB2312" w:eastAsia="仿宋_GB2312" w:cs="仿宋_GB2312"/>
          <w:b w:val="0"/>
          <w:bCs w:val="0"/>
          <w:color w:val="auto"/>
          <w:sz w:val="31"/>
          <w:szCs w:val="31"/>
          <w:highlight w:val="none"/>
          <w:lang w:eastAsia="zh-CN"/>
        </w:rPr>
        <w:t>进场人员应保持仪容整洁，举止文明，用语礼貌。</w:t>
      </w:r>
    </w:p>
    <w:p w14:paraId="1107E20F">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2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b w:val="0"/>
          <w:bCs w:val="0"/>
          <w:color w:val="auto"/>
          <w:sz w:val="31"/>
          <w:szCs w:val="31"/>
          <w:highlight w:val="none"/>
          <w:lang w:val="en-US" w:eastAsia="zh-CN"/>
        </w:rPr>
        <w:t>代理机构应维护好开标现场秩序，</w:t>
      </w:r>
      <w:r>
        <w:rPr>
          <w:rFonts w:hint="eastAsia" w:ascii="仿宋_GB2312" w:hAnsi="仿宋_GB2312" w:eastAsia="仿宋_GB2312" w:cs="仿宋_GB2312"/>
          <w:b w:val="0"/>
          <w:bCs w:val="0"/>
          <w:color w:val="auto"/>
          <w:sz w:val="31"/>
          <w:szCs w:val="31"/>
          <w:highlight w:val="none"/>
          <w:lang w:val="en-US" w:eastAsia="zh-CN"/>
        </w:rPr>
        <w:t>开标</w:t>
      </w:r>
      <w:r>
        <w:rPr>
          <w:rFonts w:hint="eastAsia" w:ascii="仿宋_GB2312" w:hAnsi="仿宋_GB2312" w:eastAsia="仿宋_GB2312" w:cs="仿宋_GB2312"/>
          <w:b w:val="0"/>
          <w:bCs w:val="0"/>
          <w:color w:val="auto"/>
          <w:sz w:val="31"/>
          <w:szCs w:val="31"/>
          <w:highlight w:val="none"/>
          <w:lang w:eastAsia="zh-CN"/>
        </w:rPr>
        <w:t>准备工作完成后，所有人员应在固定位置上坐好，禁止在开标区域随意走动或发表与开标无关的不当言论。</w:t>
      </w:r>
    </w:p>
    <w:p w14:paraId="010C88E0">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2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b w:val="0"/>
          <w:bCs w:val="0"/>
          <w:color w:val="auto"/>
          <w:sz w:val="31"/>
          <w:szCs w:val="31"/>
          <w:highlight w:val="none"/>
          <w:lang w:eastAsia="zh-CN"/>
        </w:rPr>
        <w:t>如需摇号机抽取参数的，代理机构</w:t>
      </w:r>
      <w:r>
        <w:rPr>
          <w:rFonts w:hint="eastAsia" w:ascii="仿宋_GB2312" w:hAnsi="仿宋_GB2312" w:eastAsia="仿宋_GB2312" w:cs="仿宋_GB2312"/>
          <w:b w:val="0"/>
          <w:bCs w:val="0"/>
          <w:color w:val="auto"/>
          <w:sz w:val="31"/>
          <w:szCs w:val="31"/>
          <w:highlight w:val="none"/>
          <w:lang w:val="en-US" w:eastAsia="zh-CN"/>
        </w:rPr>
        <w:t>应</w:t>
      </w:r>
      <w:r>
        <w:rPr>
          <w:rFonts w:hint="eastAsia" w:ascii="仿宋_GB2312" w:hAnsi="仿宋_GB2312" w:eastAsia="仿宋_GB2312" w:cs="仿宋_GB2312"/>
          <w:b w:val="0"/>
          <w:bCs w:val="0"/>
          <w:color w:val="auto"/>
          <w:sz w:val="31"/>
          <w:szCs w:val="31"/>
          <w:highlight w:val="none"/>
          <w:lang w:eastAsia="zh-CN"/>
        </w:rPr>
        <w:t>提前准备摇号机和摇号球，摇号机摆放在指定位置上，并且在开标前测试摇号机是否能正常使用。</w:t>
      </w:r>
      <w:r>
        <w:rPr>
          <w:rFonts w:hint="eastAsia" w:ascii="仿宋_GB2312" w:hAnsi="仿宋_GB2312" w:eastAsia="仿宋_GB2312" w:cs="仿宋_GB2312"/>
          <w:color w:val="auto"/>
          <w:kern w:val="0"/>
          <w:sz w:val="32"/>
          <w:szCs w:val="32"/>
          <w:highlight w:val="none"/>
          <w:lang w:val="en-US" w:eastAsia="zh-CN"/>
        </w:rPr>
        <w:t xml:space="preserve">  </w:t>
      </w:r>
    </w:p>
    <w:p w14:paraId="6BC99E82">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代理机构应按规定流程进行开标操作。</w:t>
      </w:r>
    </w:p>
    <w:p w14:paraId="53254644">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工程招投标项目开标过程中，如需</w:t>
      </w:r>
      <w:r>
        <w:rPr>
          <w:rFonts w:hint="eastAsia" w:ascii="仿宋_GB2312" w:hAnsi="仿宋_GB2312" w:eastAsia="仿宋_GB2312" w:cs="仿宋_GB2312"/>
          <w:b w:val="0"/>
          <w:bCs w:val="0"/>
          <w:color w:val="auto"/>
          <w:sz w:val="31"/>
          <w:szCs w:val="31"/>
          <w:highlight w:val="none"/>
          <w:lang w:eastAsia="zh-CN"/>
        </w:rPr>
        <w:t>抽取参数，</w:t>
      </w:r>
      <w:r>
        <w:rPr>
          <w:rFonts w:hint="eastAsia" w:ascii="仿宋_GB2312" w:hAnsi="仿宋_GB2312" w:eastAsia="仿宋_GB2312" w:cs="仿宋_GB2312"/>
          <w:b w:val="0"/>
          <w:bCs w:val="0"/>
          <w:color w:val="auto"/>
          <w:sz w:val="31"/>
          <w:szCs w:val="31"/>
          <w:highlight w:val="none"/>
          <w:lang w:val="en-US" w:eastAsia="zh-CN"/>
        </w:rPr>
        <w:t>招标代理机构工作人员</w:t>
      </w:r>
      <w:r>
        <w:rPr>
          <w:rFonts w:hint="eastAsia" w:ascii="仿宋_GB2312" w:hAnsi="仿宋_GB2312" w:eastAsia="仿宋_GB2312" w:cs="仿宋_GB2312"/>
          <w:b w:val="0"/>
          <w:bCs w:val="0"/>
          <w:color w:val="auto"/>
          <w:sz w:val="31"/>
          <w:szCs w:val="31"/>
          <w:highlight w:val="none"/>
          <w:lang w:eastAsia="zh-CN"/>
        </w:rPr>
        <w:t>须在</w:t>
      </w:r>
      <w:r>
        <w:rPr>
          <w:rFonts w:hint="eastAsia" w:ascii="仿宋_GB2312" w:hAnsi="仿宋_GB2312" w:eastAsia="仿宋_GB2312" w:cs="仿宋_GB2312"/>
          <w:b w:val="0"/>
          <w:bCs w:val="0"/>
          <w:color w:val="auto"/>
          <w:sz w:val="31"/>
          <w:szCs w:val="31"/>
          <w:highlight w:val="none"/>
          <w:lang w:val="en-US" w:eastAsia="zh-CN"/>
        </w:rPr>
        <w:t>开标现场直播</w:t>
      </w:r>
      <w:r>
        <w:rPr>
          <w:rFonts w:hint="eastAsia" w:ascii="仿宋_GB2312" w:hAnsi="仿宋_GB2312" w:eastAsia="仿宋_GB2312" w:cs="仿宋_GB2312"/>
          <w:b w:val="0"/>
          <w:bCs w:val="0"/>
          <w:color w:val="auto"/>
          <w:sz w:val="31"/>
          <w:szCs w:val="31"/>
          <w:highlight w:val="none"/>
          <w:lang w:eastAsia="zh-CN"/>
        </w:rPr>
        <w:t>视频中展示抽取的号球</w:t>
      </w:r>
      <w:r>
        <w:rPr>
          <w:rFonts w:hint="eastAsia" w:ascii="仿宋_GB2312" w:hAnsi="仿宋_GB2312" w:eastAsia="仿宋_GB2312" w:cs="仿宋_GB2312"/>
          <w:b w:val="0"/>
          <w:bCs w:val="0"/>
          <w:color w:val="auto"/>
          <w:sz w:val="31"/>
          <w:szCs w:val="31"/>
          <w:highlight w:val="none"/>
          <w:lang w:val="en-US" w:eastAsia="zh-CN"/>
        </w:rPr>
        <w:t>并</w:t>
      </w:r>
      <w:r>
        <w:rPr>
          <w:rFonts w:hint="eastAsia" w:ascii="仿宋_GB2312" w:hAnsi="仿宋_GB2312" w:eastAsia="仿宋_GB2312" w:cs="仿宋_GB2312"/>
          <w:b w:val="0"/>
          <w:bCs w:val="0"/>
          <w:color w:val="auto"/>
          <w:sz w:val="31"/>
          <w:szCs w:val="31"/>
          <w:highlight w:val="none"/>
          <w:lang w:eastAsia="zh-CN"/>
        </w:rPr>
        <w:t>填入系统中</w:t>
      </w:r>
      <w:r>
        <w:rPr>
          <w:rFonts w:hint="eastAsia" w:ascii="仿宋_GB2312" w:hAnsi="仿宋_GB2312" w:eastAsia="仿宋_GB2312" w:cs="仿宋_GB2312"/>
          <w:b w:val="0"/>
          <w:bCs w:val="0"/>
          <w:color w:val="auto"/>
          <w:sz w:val="31"/>
          <w:szCs w:val="31"/>
          <w:highlight w:val="none"/>
          <w:lang w:eastAsia="zh-CN"/>
        </w:rPr>
        <w:t>，核实参数无误后，方可进入下一阶段。</w:t>
      </w:r>
      <w:r>
        <w:rPr>
          <w:rFonts w:hint="eastAsia" w:ascii="仿宋_GB2312" w:hAnsi="仿宋_GB2312" w:eastAsia="仿宋_GB2312" w:cs="仿宋_GB2312"/>
          <w:b w:val="0"/>
          <w:bCs w:val="0"/>
          <w:color w:val="auto"/>
          <w:sz w:val="31"/>
          <w:szCs w:val="31"/>
          <w:highlight w:val="none"/>
          <w:lang w:val="en-US" w:eastAsia="zh-CN"/>
        </w:rPr>
        <w:t>招标</w:t>
      </w:r>
      <w:r>
        <w:rPr>
          <w:rFonts w:hint="eastAsia" w:ascii="仿宋_GB2312" w:hAnsi="仿宋_GB2312" w:eastAsia="仿宋_GB2312" w:cs="仿宋_GB2312"/>
          <w:color w:val="auto"/>
          <w:kern w:val="0"/>
          <w:sz w:val="32"/>
          <w:szCs w:val="32"/>
          <w:highlight w:val="none"/>
          <w:lang w:val="en-US" w:eastAsia="zh-CN"/>
        </w:rPr>
        <w:t>代理机构工作人员在开标结束之前，需关注异议查看模块，及时答复异议，无异议后方可结束开标。</w:t>
      </w:r>
    </w:p>
    <w:p w14:paraId="7F9F4483">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项目评标时，</w:t>
      </w:r>
      <w:r>
        <w:rPr>
          <w:rFonts w:hint="eastAsia" w:ascii="仿宋_GB2312" w:hAnsi="仿宋_GB2312" w:eastAsia="仿宋_GB2312" w:cs="仿宋_GB2312"/>
          <w:color w:val="auto"/>
          <w:kern w:val="0"/>
          <w:sz w:val="32"/>
          <w:szCs w:val="32"/>
          <w:highlight w:val="none"/>
          <w:lang w:val="en-US" w:eastAsia="zh-CN"/>
        </w:rPr>
        <w:t>进入评标区的代理机构工作人员名单需在预约场地时提前登记</w:t>
      </w:r>
      <w:r>
        <w:rPr>
          <w:rFonts w:hint="eastAsia" w:ascii="仿宋_GB2312" w:hAnsi="仿宋_GB2312" w:eastAsia="仿宋_GB2312" w:cs="仿宋_GB2312"/>
          <w:color w:val="auto"/>
          <w:kern w:val="0"/>
          <w:sz w:val="32"/>
          <w:szCs w:val="32"/>
          <w:highlight w:val="none"/>
          <w:lang w:val="en-US" w:eastAsia="zh-CN"/>
        </w:rPr>
        <w:t>，非该项目的人员不得进入评标区域，如有特殊情况需同交易中心工作人员联系处理。</w:t>
      </w:r>
    </w:p>
    <w:p w14:paraId="59D3A819">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进入评标区时，代理机构工作人员需提前把</w:t>
      </w:r>
      <w:bookmarkStart w:id="5" w:name="OLE_LINK44"/>
      <w:r>
        <w:rPr>
          <w:rFonts w:hint="eastAsia" w:ascii="仿宋_GB2312" w:hAnsi="仿宋_GB2312" w:eastAsia="仿宋_GB2312" w:cs="仿宋_GB2312"/>
          <w:color w:val="auto"/>
          <w:kern w:val="0"/>
          <w:sz w:val="32"/>
          <w:szCs w:val="32"/>
          <w:highlight w:val="none"/>
          <w:lang w:val="en-US" w:eastAsia="zh-CN"/>
        </w:rPr>
        <w:t>通讯工具、电脑、电子手表等电子设备</w:t>
      </w:r>
      <w:r>
        <w:rPr>
          <w:rFonts w:hint="eastAsia" w:ascii="仿宋_GB2312" w:hAnsi="仿宋_GB2312" w:eastAsia="仿宋_GB2312" w:cs="仿宋_GB2312"/>
          <w:color w:val="auto"/>
          <w:kern w:val="0"/>
          <w:sz w:val="32"/>
          <w:szCs w:val="32"/>
          <w:highlight w:val="none"/>
          <w:lang w:val="en-US" w:eastAsia="zh-CN"/>
        </w:rPr>
        <w:t>、包裹</w:t>
      </w:r>
      <w:bookmarkEnd w:id="5"/>
      <w:r>
        <w:rPr>
          <w:rFonts w:hint="eastAsia" w:ascii="仿宋_GB2312" w:hAnsi="仿宋_GB2312" w:eastAsia="仿宋_GB2312" w:cs="仿宋_GB2312"/>
          <w:color w:val="auto"/>
          <w:kern w:val="0"/>
          <w:sz w:val="32"/>
          <w:szCs w:val="32"/>
          <w:highlight w:val="none"/>
          <w:lang w:val="en-US" w:eastAsia="zh-CN"/>
        </w:rPr>
        <w:t>等存放到密码保管柜里，通过智能门禁闸机验证并佩戴电子标签卡进入评标区。</w:t>
      </w:r>
    </w:p>
    <w:p w14:paraId="014131CE">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代理机构不得将与评标项目无关的资料</w:t>
      </w:r>
      <w:r>
        <w:rPr>
          <w:rFonts w:hint="eastAsia" w:ascii="仿宋_GB2312" w:hAnsi="仿宋_GB2312" w:eastAsia="仿宋_GB2312" w:cs="仿宋_GB2312"/>
          <w:color w:val="auto"/>
          <w:kern w:val="0"/>
          <w:sz w:val="32"/>
          <w:szCs w:val="32"/>
          <w:highlight w:val="none"/>
          <w:lang w:val="en-US" w:eastAsia="zh-CN"/>
        </w:rPr>
        <w:t>带入评标区，不得擅自摘下、替换或伪造电子标签卡。</w:t>
      </w:r>
    </w:p>
    <w:p w14:paraId="0F54669B">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代理机构应自觉遵守评标纪律、保密纪律，不得随意离开评标室，不得随意进出其它评标室，不得在评标区走廊逗留，不得吸烟，不得大声喧哗，影响干扰其它项目评标。</w:t>
      </w:r>
    </w:p>
    <w:p w14:paraId="79CA4D61">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评标区内禁止自行携带水果、饮料、食物，代理机构可通过录音电话进行订餐。</w:t>
      </w:r>
    </w:p>
    <w:p w14:paraId="1BCDEC04">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default" w:ascii="仿宋_GB2312" w:hAnsi="仿宋_GB2312" w:eastAsia="仿宋_GB2312" w:cs="仿宋_GB2312"/>
          <w:color w:val="auto"/>
          <w:kern w:val="0"/>
          <w:sz w:val="32"/>
          <w:szCs w:val="32"/>
          <w:highlight w:val="none"/>
          <w:lang w:val="en-US" w:eastAsia="zh-CN"/>
        </w:rPr>
        <w:t>因项目特别要求确需带样品评审的，代理机构应</w:t>
      </w:r>
      <w:r>
        <w:rPr>
          <w:rFonts w:hint="eastAsia" w:ascii="仿宋_GB2312" w:hAnsi="仿宋_GB2312" w:eastAsia="仿宋_GB2312" w:cs="仿宋_GB2312"/>
          <w:color w:val="auto"/>
          <w:kern w:val="0"/>
          <w:sz w:val="32"/>
          <w:szCs w:val="32"/>
          <w:highlight w:val="none"/>
          <w:lang w:val="en-US" w:eastAsia="zh-CN"/>
        </w:rPr>
        <w:t>提</w:t>
      </w:r>
      <w:r>
        <w:rPr>
          <w:rFonts w:hint="default" w:ascii="仿宋_GB2312" w:hAnsi="仿宋_GB2312" w:eastAsia="仿宋_GB2312" w:cs="仿宋_GB2312"/>
          <w:color w:val="auto"/>
          <w:kern w:val="0"/>
          <w:sz w:val="32"/>
          <w:szCs w:val="32"/>
          <w:highlight w:val="none"/>
          <w:lang w:val="en-US" w:eastAsia="zh-CN"/>
        </w:rPr>
        <w:t>前书面告知交易中心，</w:t>
      </w:r>
      <w:r>
        <w:rPr>
          <w:rFonts w:hint="default" w:ascii="仿宋_GB2312" w:hAnsi="仿宋_GB2312" w:eastAsia="仿宋_GB2312" w:cs="仿宋_GB2312"/>
          <w:color w:val="auto"/>
          <w:kern w:val="0"/>
          <w:sz w:val="32"/>
          <w:szCs w:val="32"/>
          <w:highlight w:val="none"/>
          <w:lang w:val="en-US" w:eastAsia="zh-CN"/>
        </w:rPr>
        <w:t>按规定</w:t>
      </w:r>
      <w:r>
        <w:rPr>
          <w:rFonts w:hint="eastAsia" w:ascii="仿宋_GB2312" w:hAnsi="仿宋_GB2312" w:eastAsia="仿宋_GB2312" w:cs="仿宋_GB2312"/>
          <w:color w:val="auto"/>
          <w:kern w:val="0"/>
          <w:sz w:val="32"/>
          <w:szCs w:val="32"/>
          <w:highlight w:val="none"/>
          <w:lang w:val="en-US" w:eastAsia="zh-CN"/>
        </w:rPr>
        <w:t>送至样品间。如需评标（评审）专家到样品间查验样品的，</w:t>
      </w:r>
      <w:r>
        <w:rPr>
          <w:rFonts w:hint="eastAsia" w:ascii="仿宋_GB2312" w:hAnsi="仿宋_GB2312" w:eastAsia="仿宋_GB2312" w:cs="仿宋_GB2312"/>
          <w:color w:val="auto"/>
          <w:kern w:val="0"/>
          <w:sz w:val="32"/>
          <w:szCs w:val="32"/>
          <w:highlight w:val="none"/>
          <w:lang w:val="en-US" w:eastAsia="zh-CN"/>
        </w:rPr>
        <w:t>应</w:t>
      </w:r>
      <w:bookmarkStart w:id="6" w:name="OLE_LINK4"/>
      <w:r>
        <w:rPr>
          <w:rFonts w:hint="eastAsia" w:ascii="仿宋_GB2312" w:hAnsi="仿宋_GB2312" w:eastAsia="仿宋_GB2312" w:cs="仿宋_GB2312"/>
          <w:color w:val="auto"/>
          <w:kern w:val="0"/>
          <w:sz w:val="32"/>
          <w:szCs w:val="32"/>
          <w:highlight w:val="none"/>
          <w:lang w:val="en-US" w:eastAsia="zh-CN"/>
        </w:rPr>
        <w:t>服从评标区现场进出管理</w:t>
      </w:r>
      <w:bookmarkEnd w:id="6"/>
      <w:r>
        <w:rPr>
          <w:rFonts w:hint="eastAsia" w:ascii="仿宋_GB2312" w:hAnsi="仿宋_GB2312" w:eastAsia="仿宋_GB2312" w:cs="仿宋_GB2312"/>
          <w:color w:val="auto"/>
          <w:kern w:val="0"/>
          <w:sz w:val="32"/>
          <w:szCs w:val="32"/>
          <w:highlight w:val="none"/>
          <w:lang w:val="en-US" w:eastAsia="zh-CN"/>
        </w:rPr>
        <w:t>，有序组织并陪同专家进行样品评审，避免专家与外界接触和联系。</w:t>
      </w:r>
    </w:p>
    <w:p w14:paraId="170B4096">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因项目要求代理机构工作人员需二次进出评标区的，应及时联系交易中心相关业务科室，</w:t>
      </w:r>
      <w:r>
        <w:rPr>
          <w:rFonts w:hint="eastAsia" w:ascii="仿宋_GB2312" w:hAnsi="仿宋_GB2312" w:eastAsia="仿宋_GB2312" w:cs="仿宋_GB2312"/>
          <w:color w:val="auto"/>
          <w:kern w:val="0"/>
          <w:sz w:val="32"/>
          <w:szCs w:val="32"/>
          <w:highlight w:val="none"/>
          <w:lang w:val="en-US" w:eastAsia="zh-CN"/>
        </w:rPr>
        <w:t>服从评标区现场进出管理</w:t>
      </w:r>
      <w:r>
        <w:rPr>
          <w:rFonts w:hint="eastAsia" w:ascii="仿宋_GB2312" w:hAnsi="仿宋_GB2312" w:eastAsia="仿宋_GB2312" w:cs="仿宋_GB2312"/>
          <w:color w:val="auto"/>
          <w:kern w:val="0"/>
          <w:sz w:val="32"/>
          <w:szCs w:val="32"/>
          <w:highlight w:val="none"/>
          <w:lang w:val="en-US" w:eastAsia="zh-CN"/>
        </w:rPr>
        <w:t>。</w:t>
      </w:r>
    </w:p>
    <w:p w14:paraId="46A55439">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代理机构若发现开评标室设施、设备故障等异常情况的，应</w:t>
      </w:r>
      <w:r>
        <w:rPr>
          <w:rFonts w:hint="eastAsia" w:ascii="仿宋_GB2312" w:hAnsi="仿宋_GB2312" w:eastAsia="仿宋_GB2312" w:cs="仿宋_GB2312"/>
          <w:color w:val="auto"/>
          <w:sz w:val="32"/>
          <w:szCs w:val="32"/>
          <w:highlight w:val="none"/>
          <w:lang w:eastAsia="zh-CN"/>
        </w:rPr>
        <w:t>及时</w:t>
      </w:r>
      <w:r>
        <w:rPr>
          <w:rFonts w:hint="eastAsia" w:ascii="仿宋_GB2312" w:hAnsi="仿宋_GB2312" w:eastAsia="仿宋_GB2312" w:cs="仿宋_GB2312"/>
          <w:color w:val="auto"/>
          <w:sz w:val="32"/>
          <w:szCs w:val="32"/>
          <w:highlight w:val="none"/>
          <w:lang w:val="en-US" w:eastAsia="zh-CN"/>
        </w:rPr>
        <w:t>告知交易中心相关业务科室，相关业务科室报</w:t>
      </w:r>
      <w:r>
        <w:rPr>
          <w:rFonts w:hint="eastAsia" w:ascii="仿宋_GB2312" w:hAnsi="仿宋_GB2312" w:eastAsia="仿宋_GB2312" w:cs="仿宋_GB2312"/>
          <w:color w:val="auto"/>
          <w:sz w:val="32"/>
          <w:szCs w:val="32"/>
          <w:highlight w:val="none"/>
          <w:lang w:eastAsia="zh-CN"/>
        </w:rPr>
        <w:t>信息管理科</w:t>
      </w:r>
      <w:r>
        <w:rPr>
          <w:rFonts w:hint="eastAsia" w:ascii="仿宋_GB2312" w:hAnsi="仿宋_GB2312" w:eastAsia="仿宋_GB2312" w:cs="仿宋_GB2312"/>
          <w:color w:val="auto"/>
          <w:sz w:val="32"/>
          <w:szCs w:val="32"/>
          <w:highlight w:val="none"/>
          <w:lang w:val="en-US" w:eastAsia="zh-CN"/>
        </w:rPr>
        <w:t>后</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由信息管理科联系第三方运维单位</w:t>
      </w:r>
      <w:r>
        <w:rPr>
          <w:rFonts w:hint="eastAsia" w:ascii="仿宋_GB2312" w:hAnsi="仿宋_GB2312" w:eastAsia="仿宋_GB2312" w:cs="仿宋_GB2312"/>
          <w:color w:val="auto"/>
          <w:sz w:val="32"/>
          <w:szCs w:val="32"/>
          <w:highlight w:val="none"/>
          <w:lang w:eastAsia="zh-CN"/>
        </w:rPr>
        <w:t>进行</w:t>
      </w:r>
      <w:r>
        <w:rPr>
          <w:rFonts w:hint="eastAsia" w:ascii="仿宋_GB2312" w:hAnsi="仿宋_GB2312" w:eastAsia="仿宋_GB2312" w:cs="仿宋_GB2312"/>
          <w:color w:val="auto"/>
          <w:sz w:val="32"/>
          <w:szCs w:val="32"/>
          <w:highlight w:val="none"/>
          <w:lang w:val="en-US" w:eastAsia="zh-CN"/>
        </w:rPr>
        <w:t>问题排查和抢修。</w:t>
      </w:r>
      <w:r>
        <w:rPr>
          <w:rFonts w:hint="eastAsia" w:ascii="仿宋_GB2312" w:hAnsi="仿宋_GB2312" w:eastAsia="仿宋_GB2312" w:cs="仿宋_GB2312"/>
          <w:color w:val="auto"/>
          <w:sz w:val="32"/>
          <w:szCs w:val="32"/>
          <w:highlight w:val="none"/>
          <w:lang w:eastAsia="zh-CN"/>
        </w:rPr>
        <w:t>若</w:t>
      </w:r>
      <w:r>
        <w:rPr>
          <w:rFonts w:hint="eastAsia" w:ascii="仿宋_GB2312" w:hAnsi="仿宋_GB2312" w:eastAsia="仿宋_GB2312" w:cs="仿宋_GB2312"/>
          <w:color w:val="auto"/>
          <w:sz w:val="32"/>
          <w:szCs w:val="32"/>
          <w:highlight w:val="none"/>
          <w:lang w:val="en-US" w:eastAsia="zh-CN"/>
        </w:rPr>
        <w:t>情况严重导致短时间内</w:t>
      </w:r>
      <w:r>
        <w:rPr>
          <w:rFonts w:hint="eastAsia" w:ascii="仿宋_GB2312" w:hAnsi="仿宋_GB2312" w:eastAsia="仿宋_GB2312" w:cs="仿宋_GB2312"/>
          <w:color w:val="auto"/>
          <w:sz w:val="32"/>
          <w:szCs w:val="32"/>
          <w:highlight w:val="none"/>
          <w:lang w:eastAsia="zh-CN"/>
        </w:rPr>
        <w:t>无法恢复</w:t>
      </w:r>
      <w:r>
        <w:rPr>
          <w:rFonts w:hint="eastAsia" w:ascii="仿宋_GB2312" w:hAnsi="仿宋_GB2312" w:eastAsia="仿宋_GB2312" w:cs="仿宋_GB2312"/>
          <w:color w:val="auto"/>
          <w:sz w:val="32"/>
          <w:szCs w:val="32"/>
          <w:highlight w:val="none"/>
          <w:lang w:val="en-US" w:eastAsia="zh-CN"/>
        </w:rPr>
        <w:t>开评</w:t>
      </w:r>
      <w:r>
        <w:rPr>
          <w:rFonts w:hint="eastAsia" w:ascii="仿宋_GB2312" w:hAnsi="仿宋_GB2312" w:eastAsia="仿宋_GB2312" w:cs="仿宋_GB2312"/>
          <w:color w:val="auto"/>
          <w:sz w:val="32"/>
          <w:szCs w:val="32"/>
          <w:highlight w:val="none"/>
          <w:lang w:eastAsia="zh-CN"/>
        </w:rPr>
        <w:t>标，</w:t>
      </w:r>
      <w:r>
        <w:rPr>
          <w:rFonts w:hint="eastAsia" w:ascii="仿宋_GB2312" w:hAnsi="仿宋_GB2312" w:eastAsia="仿宋_GB2312" w:cs="仿宋_GB2312"/>
          <w:color w:val="auto"/>
          <w:sz w:val="32"/>
          <w:szCs w:val="32"/>
          <w:highlight w:val="none"/>
          <w:lang w:val="en-US" w:eastAsia="zh-CN"/>
        </w:rPr>
        <w:t>代理机构同招标（采购）人</w:t>
      </w:r>
      <w:r>
        <w:rPr>
          <w:rFonts w:hint="eastAsia" w:ascii="仿宋_GB2312" w:hAnsi="仿宋_GB2312" w:eastAsia="仿宋_GB2312" w:cs="仿宋_GB2312"/>
          <w:color w:val="auto"/>
          <w:sz w:val="32"/>
          <w:szCs w:val="32"/>
          <w:highlight w:val="none"/>
          <w:lang w:val="en-US" w:eastAsia="zh-CN"/>
        </w:rPr>
        <w:t>、相关</w:t>
      </w:r>
      <w:r>
        <w:rPr>
          <w:rFonts w:hint="eastAsia" w:ascii="仿宋_GB2312" w:hAnsi="仿宋_GB2312" w:eastAsia="仿宋_GB2312" w:cs="仿宋_GB2312"/>
          <w:color w:val="auto"/>
          <w:sz w:val="32"/>
          <w:szCs w:val="32"/>
          <w:highlight w:val="none"/>
          <w:lang w:eastAsia="zh-CN"/>
        </w:rPr>
        <w:t>监管部门</w:t>
      </w:r>
      <w:r>
        <w:rPr>
          <w:rFonts w:hint="eastAsia" w:ascii="仿宋_GB2312" w:hAnsi="仿宋_GB2312" w:eastAsia="仿宋_GB2312" w:cs="仿宋_GB2312"/>
          <w:color w:val="auto"/>
          <w:sz w:val="32"/>
          <w:szCs w:val="32"/>
          <w:highlight w:val="none"/>
          <w:lang w:val="en-US" w:eastAsia="zh-CN"/>
        </w:rPr>
        <w:t>协商是否要</w:t>
      </w:r>
      <w:r>
        <w:rPr>
          <w:rFonts w:hint="eastAsia" w:ascii="仿宋_GB2312" w:hAnsi="仿宋_GB2312" w:eastAsia="仿宋_GB2312" w:cs="仿宋_GB2312"/>
          <w:color w:val="auto"/>
          <w:sz w:val="32"/>
          <w:szCs w:val="32"/>
          <w:highlight w:val="none"/>
          <w:lang w:eastAsia="zh-CN"/>
        </w:rPr>
        <w:t>封标</w:t>
      </w:r>
      <w:r>
        <w:rPr>
          <w:rFonts w:hint="eastAsia" w:ascii="仿宋_GB2312" w:hAnsi="仿宋_GB2312" w:eastAsia="仿宋_GB2312" w:cs="仿宋_GB2312"/>
          <w:color w:val="auto"/>
          <w:sz w:val="32"/>
          <w:szCs w:val="32"/>
          <w:highlight w:val="none"/>
          <w:lang w:val="en-US" w:eastAsia="zh-CN"/>
        </w:rPr>
        <w:t>或延期。若需</w:t>
      </w:r>
      <w:r>
        <w:rPr>
          <w:rFonts w:hint="eastAsia" w:ascii="仿宋_GB2312" w:hAnsi="仿宋_GB2312" w:eastAsia="仿宋_GB2312" w:cs="仿宋_GB2312"/>
          <w:color w:val="auto"/>
          <w:sz w:val="32"/>
          <w:szCs w:val="32"/>
          <w:highlight w:val="none"/>
          <w:lang w:eastAsia="zh-CN"/>
        </w:rPr>
        <w:t>封标</w:t>
      </w:r>
      <w:r>
        <w:rPr>
          <w:rFonts w:hint="eastAsia" w:ascii="仿宋_GB2312" w:hAnsi="仿宋_GB2312" w:eastAsia="仿宋_GB2312" w:cs="仿宋_GB2312"/>
          <w:color w:val="auto"/>
          <w:sz w:val="32"/>
          <w:szCs w:val="32"/>
          <w:highlight w:val="none"/>
          <w:lang w:val="en-US" w:eastAsia="zh-CN"/>
        </w:rPr>
        <w:t>或延期的，</w:t>
      </w:r>
      <w:r>
        <w:rPr>
          <w:rFonts w:hint="eastAsia" w:ascii="仿宋_GB2312" w:hAnsi="仿宋_GB2312" w:eastAsia="仿宋_GB2312" w:cs="仿宋_GB2312"/>
          <w:color w:val="auto"/>
          <w:sz w:val="32"/>
          <w:szCs w:val="32"/>
          <w:highlight w:val="none"/>
          <w:lang w:val="en-US" w:eastAsia="zh-CN"/>
        </w:rPr>
        <w:t>招标（采购）人（代理机构）</w:t>
      </w:r>
      <w:r>
        <w:rPr>
          <w:rFonts w:hint="eastAsia" w:ascii="仿宋_GB2312" w:hAnsi="仿宋_GB2312" w:eastAsia="仿宋_GB2312" w:cs="仿宋_GB2312"/>
          <w:color w:val="auto"/>
          <w:sz w:val="32"/>
          <w:szCs w:val="32"/>
          <w:highlight w:val="none"/>
          <w:lang w:eastAsia="zh-CN"/>
        </w:rPr>
        <w:t>停止开评标活动，</w:t>
      </w:r>
      <w:r>
        <w:rPr>
          <w:rFonts w:hint="eastAsia" w:ascii="仿宋_GB2312" w:hAnsi="仿宋_GB2312" w:eastAsia="仿宋_GB2312" w:cs="仿宋_GB2312"/>
          <w:color w:val="auto"/>
          <w:sz w:val="32"/>
          <w:szCs w:val="32"/>
          <w:highlight w:val="none"/>
          <w:lang w:val="en-US" w:eastAsia="zh-CN"/>
        </w:rPr>
        <w:t>并</w:t>
      </w:r>
      <w:r>
        <w:rPr>
          <w:rFonts w:hint="eastAsia" w:ascii="仿宋_GB2312" w:hAnsi="仿宋_GB2312" w:eastAsia="仿宋_GB2312" w:cs="仿宋_GB2312"/>
          <w:color w:val="auto"/>
          <w:sz w:val="32"/>
          <w:szCs w:val="32"/>
          <w:highlight w:val="none"/>
          <w:lang w:eastAsia="zh-CN"/>
        </w:rPr>
        <w:t>封存所有文件资料。</w:t>
      </w:r>
    </w:p>
    <w:p w14:paraId="2BA7514D">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代理机构应履行好开评标管理工作，自觉维护开评标秩序，</w:t>
      </w:r>
      <w:r>
        <w:rPr>
          <w:rFonts w:hint="eastAsia" w:ascii="仿宋_GB2312" w:hAnsi="仿宋_GB2312" w:eastAsia="仿宋_GB2312" w:cs="仿宋_GB2312"/>
          <w:color w:val="auto"/>
          <w:kern w:val="0"/>
          <w:sz w:val="32"/>
          <w:szCs w:val="32"/>
          <w:highlight w:val="none"/>
          <w:lang w:val="en-US" w:eastAsia="zh-CN"/>
        </w:rPr>
        <w:t>加强评标（评审）专家的现场管理，做好专家人数清点和身份确认工作,严禁专家随意出入评标区。如发现违规行为</w:t>
      </w:r>
      <w:r>
        <w:rPr>
          <w:rFonts w:hint="eastAsia" w:ascii="仿宋_GB2312" w:hAnsi="仿宋_GB2312" w:eastAsia="仿宋_GB2312" w:cs="仿宋_GB2312"/>
          <w:color w:val="auto"/>
          <w:kern w:val="0"/>
          <w:sz w:val="32"/>
          <w:szCs w:val="32"/>
          <w:highlight w:val="none"/>
          <w:lang w:val="en-US" w:eastAsia="zh-CN"/>
        </w:rPr>
        <w:t>应及时制止，制止无效或遇其它异常情况时应及时联系交易中心工作人员，并上报相关监管</w:t>
      </w:r>
      <w:r>
        <w:rPr>
          <w:rFonts w:hint="eastAsia" w:ascii="仿宋_GB2312" w:hAnsi="仿宋_GB2312" w:eastAsia="仿宋_GB2312" w:cs="仿宋_GB2312"/>
          <w:color w:val="auto"/>
          <w:kern w:val="0"/>
          <w:sz w:val="32"/>
          <w:szCs w:val="32"/>
          <w:highlight w:val="none"/>
          <w:lang w:val="en-US" w:eastAsia="zh-CN"/>
        </w:rPr>
        <w:t>部门</w:t>
      </w:r>
      <w:r>
        <w:rPr>
          <w:rFonts w:hint="eastAsia" w:ascii="仿宋_GB2312" w:hAnsi="仿宋_GB2312" w:eastAsia="仿宋_GB2312" w:cs="仿宋_GB2312"/>
          <w:color w:val="auto"/>
          <w:kern w:val="0"/>
          <w:sz w:val="32"/>
          <w:szCs w:val="32"/>
          <w:highlight w:val="none"/>
          <w:lang w:val="en-US" w:eastAsia="zh-CN"/>
        </w:rPr>
        <w:t>。</w:t>
      </w:r>
    </w:p>
    <w:p w14:paraId="2E405287">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代理机构应爱护场内公共设施、设备,不得随意拆卸、搬动或挪用场内统一配置的设施设备，</w:t>
      </w:r>
      <w:bookmarkStart w:id="7" w:name="OLE_LINK55"/>
      <w:r>
        <w:rPr>
          <w:rFonts w:hint="eastAsia" w:ascii="仿宋_GB2312" w:hAnsi="仿宋_GB2312" w:eastAsia="仿宋_GB2312" w:cs="仿宋_GB2312"/>
          <w:color w:val="auto"/>
          <w:kern w:val="0"/>
          <w:sz w:val="32"/>
          <w:szCs w:val="32"/>
          <w:highlight w:val="none"/>
          <w:lang w:val="en-US" w:eastAsia="zh-CN"/>
        </w:rPr>
        <w:t>规范使用场内设备</w:t>
      </w:r>
      <w:bookmarkEnd w:id="7"/>
      <w:r>
        <w:rPr>
          <w:rFonts w:hint="eastAsia" w:ascii="仿宋_GB2312" w:hAnsi="仿宋_GB2312" w:eastAsia="仿宋_GB2312" w:cs="仿宋_GB2312"/>
          <w:color w:val="auto"/>
          <w:kern w:val="0"/>
          <w:sz w:val="32"/>
          <w:szCs w:val="32"/>
          <w:highlight w:val="none"/>
          <w:lang w:val="en-US" w:eastAsia="zh-CN"/>
        </w:rPr>
        <w:t>，不得自行更改系统软件设置，不得使用有网络安全隐患的资料存储设备，不得随意拷贝电脑上的资料或安装软件等，并督促评标（评审）专家规范使用评标电脑等设备，严格网络管控。因代理机构工作人员使用不当造成损坏的，应予以赔偿。</w:t>
      </w:r>
    </w:p>
    <w:p w14:paraId="7B22687B">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项目开评标结束后，代理机构应</w:t>
      </w:r>
      <w:bookmarkStart w:id="8" w:name="OLE_LINK31"/>
      <w:r>
        <w:rPr>
          <w:rFonts w:hint="eastAsia" w:ascii="仿宋_GB2312" w:hAnsi="仿宋_GB2312" w:eastAsia="仿宋_GB2312" w:cs="仿宋_GB2312"/>
          <w:color w:val="auto"/>
          <w:kern w:val="0"/>
          <w:sz w:val="32"/>
          <w:szCs w:val="32"/>
          <w:highlight w:val="none"/>
          <w:lang w:val="en-US" w:eastAsia="zh-CN"/>
        </w:rPr>
        <w:t>及时关闭开评标室的电脑、照明及空调等用电设备，自行收拾整理并带走所有资料</w:t>
      </w:r>
      <w:bookmarkEnd w:id="8"/>
      <w:r>
        <w:rPr>
          <w:rFonts w:hint="eastAsia" w:ascii="仿宋_GB2312" w:hAnsi="仿宋_GB2312" w:eastAsia="仿宋_GB2312" w:cs="仿宋_GB2312"/>
          <w:color w:val="auto"/>
          <w:kern w:val="0"/>
          <w:sz w:val="32"/>
          <w:szCs w:val="32"/>
          <w:highlight w:val="none"/>
          <w:lang w:val="en-US" w:eastAsia="zh-CN"/>
        </w:rPr>
        <w:t>，不得遗留任何</w:t>
      </w:r>
      <w:r>
        <w:rPr>
          <w:rFonts w:hint="eastAsia" w:ascii="仿宋_GB2312" w:hAnsi="仿宋_GB2312" w:eastAsia="仿宋_GB2312" w:cs="仿宋_GB2312"/>
          <w:color w:val="auto"/>
          <w:kern w:val="0"/>
          <w:sz w:val="32"/>
          <w:szCs w:val="32"/>
          <w:highlight w:val="none"/>
          <w:lang w:val="en-US" w:eastAsia="zh-CN"/>
        </w:rPr>
        <w:t>资料及物品在开评标区内。交易中心不负责对任何遗留资料及物品</w:t>
      </w:r>
      <w:r>
        <w:rPr>
          <w:rFonts w:hint="eastAsia" w:ascii="仿宋_GB2312" w:hAnsi="仿宋_GB2312" w:eastAsia="仿宋_GB2312" w:cs="仿宋_GB2312"/>
          <w:color w:val="auto"/>
          <w:kern w:val="0"/>
          <w:sz w:val="32"/>
          <w:szCs w:val="32"/>
          <w:highlight w:val="none"/>
          <w:lang w:val="en-US" w:eastAsia="zh-CN"/>
        </w:rPr>
        <w:t>的留存和保管，代理</w:t>
      </w:r>
      <w:bookmarkStart w:id="9" w:name="OLE_LINK1"/>
      <w:r>
        <w:rPr>
          <w:rFonts w:hint="eastAsia" w:ascii="仿宋_GB2312" w:hAnsi="仿宋_GB2312" w:eastAsia="仿宋_GB2312" w:cs="仿宋_GB2312"/>
          <w:color w:val="auto"/>
          <w:kern w:val="0"/>
          <w:sz w:val="32"/>
          <w:szCs w:val="32"/>
          <w:highlight w:val="none"/>
          <w:lang w:val="en-US" w:eastAsia="zh-CN"/>
        </w:rPr>
        <w:t>机构对遗留资料所产生的所有后果负责</w:t>
      </w:r>
      <w:bookmarkEnd w:id="9"/>
      <w:r>
        <w:rPr>
          <w:rFonts w:hint="eastAsia" w:ascii="仿宋_GB2312" w:hAnsi="仿宋_GB2312" w:eastAsia="仿宋_GB2312" w:cs="仿宋_GB2312"/>
          <w:color w:val="auto"/>
          <w:kern w:val="0"/>
          <w:sz w:val="32"/>
          <w:szCs w:val="32"/>
          <w:highlight w:val="none"/>
          <w:lang w:val="en-US" w:eastAsia="zh-CN"/>
        </w:rPr>
        <w:t>。</w:t>
      </w:r>
    </w:p>
    <w:p w14:paraId="634EB9D4">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jc w:val="center"/>
        <w:textAlignment w:val="auto"/>
        <w:rPr>
          <w:rFonts w:hint="eastAsia" w:ascii="仿宋_GB2312" w:hAnsi="仿宋_GB2312" w:eastAsia="仿宋_GB2312" w:cs="仿宋_GB2312"/>
          <w:color w:val="auto"/>
          <w:kern w:val="0"/>
          <w:sz w:val="32"/>
          <w:szCs w:val="32"/>
          <w:highlight w:val="none"/>
          <w:lang w:val="en-US" w:eastAsia="zh-CN"/>
        </w:rPr>
      </w:pPr>
      <w:r>
        <w:rPr>
          <w:rFonts w:hint="eastAsia" w:ascii="黑体" w:hAnsi="黑体" w:eastAsia="黑体" w:cs="黑体"/>
          <w:b w:val="0"/>
          <w:bCs/>
          <w:i w:val="0"/>
          <w:caps w:val="0"/>
          <w:color w:val="auto"/>
          <w:spacing w:val="0"/>
          <w:sz w:val="32"/>
          <w:szCs w:val="32"/>
          <w:highlight w:val="none"/>
          <w:lang w:val="en-US" w:eastAsia="zh-CN"/>
        </w:rPr>
        <w:t>第四章 评价与管理</w:t>
      </w:r>
    </w:p>
    <w:p w14:paraId="3E0D6DB7">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代理机构进场交易行为评价采取加减分制，实行动态管理</w:t>
      </w:r>
      <w:bookmarkStart w:id="10" w:name="OLE_LINK2"/>
      <w:r>
        <w:rPr>
          <w:rFonts w:hint="eastAsia" w:ascii="仿宋_GB2312" w:hAnsi="仿宋_GB2312" w:eastAsia="仿宋_GB2312" w:cs="仿宋_GB2312"/>
          <w:color w:val="auto"/>
          <w:kern w:val="0"/>
          <w:sz w:val="32"/>
          <w:szCs w:val="32"/>
          <w:highlight w:val="none"/>
          <w:lang w:val="en-US" w:eastAsia="zh-CN"/>
        </w:rPr>
        <w:t>。</w:t>
      </w:r>
      <w:bookmarkEnd w:id="10"/>
      <w:r>
        <w:rPr>
          <w:rFonts w:hint="eastAsia" w:ascii="仿宋_GB2312" w:hAnsi="仿宋_GB2312" w:eastAsia="仿宋_GB2312" w:cs="仿宋_GB2312"/>
          <w:color w:val="auto"/>
          <w:kern w:val="0"/>
          <w:sz w:val="32"/>
          <w:szCs w:val="32"/>
          <w:highlight w:val="none"/>
          <w:lang w:val="en-US" w:eastAsia="zh-CN"/>
        </w:rPr>
        <w:t>凡进入交易中心开展代理业务的代理机构均须参与评价。</w:t>
      </w:r>
    </w:p>
    <w:p w14:paraId="3BA2CAF0">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代理机构评价内容由基本分、综合实力、场内行为评价、失信与处理处罚情况等四部分组成，评分满分100分,另附加社会责任5分，总共105分（评价标准详见附件2）。</w:t>
      </w:r>
    </w:p>
    <w:p w14:paraId="2D07D556">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对进场交易的工程类、采购类项目代理机构根据评价标准分别进行动态记分考评。其中，限额以下（国企采购）公共资源交易项目仅涉及场内行为评价，并根据项目类别，分别纳入工程类、采购类代理机构考评总分。</w:t>
      </w:r>
    </w:p>
    <w:p w14:paraId="64808C02">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交易中心相关科室按照职责分工，依据本办法对代理机构进场交易行为进行量化评价。</w:t>
      </w:r>
    </w:p>
    <w:p w14:paraId="5474CD51">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本办法为年度评价，以一个自然年度为一周期，根据记分周期内累计得分情况评定“星级”。期满后，记分清零重新计算。每季度公示一次加分、扣分情况，每年公示综合评分情况及“星级”评定情况，通过</w:t>
      </w:r>
      <w:r>
        <w:rPr>
          <w:rFonts w:hint="eastAsia" w:ascii="仿宋_GB2312" w:hAnsi="仿宋_GB2312" w:eastAsia="仿宋_GB2312" w:cs="仿宋_GB2312"/>
          <w:b w:val="0"/>
          <w:bCs w:val="0"/>
          <w:color w:val="auto"/>
          <w:sz w:val="32"/>
          <w:szCs w:val="32"/>
          <w:highlight w:val="none"/>
          <w:lang w:val="en-US" w:eastAsia="zh-CN"/>
        </w:rPr>
        <w:t>苏州</w:t>
      </w:r>
      <w:r>
        <w:rPr>
          <w:rFonts w:hint="eastAsia" w:ascii="仿宋_GB2312" w:hAnsi="仿宋_GB2312" w:eastAsia="仿宋_GB2312" w:cs="仿宋_GB2312"/>
          <w:b w:val="0"/>
          <w:bCs w:val="0"/>
          <w:color w:val="auto"/>
          <w:sz w:val="32"/>
          <w:szCs w:val="32"/>
          <w:highlight w:val="none"/>
          <w:lang w:eastAsia="zh-CN"/>
        </w:rPr>
        <w:t>市公共资源交易中心</w:t>
      </w:r>
      <w:r>
        <w:rPr>
          <w:rFonts w:hint="eastAsia" w:ascii="仿宋_GB2312" w:hAnsi="仿宋_GB2312" w:eastAsia="仿宋_GB2312" w:cs="仿宋_GB2312"/>
          <w:b w:val="0"/>
          <w:bCs w:val="0"/>
          <w:color w:val="auto"/>
          <w:sz w:val="32"/>
          <w:szCs w:val="32"/>
          <w:highlight w:val="none"/>
          <w:lang w:val="en-US" w:eastAsia="zh-CN"/>
        </w:rPr>
        <w:t>张家港分中心网站进行公示，</w:t>
      </w:r>
      <w:r>
        <w:rPr>
          <w:rFonts w:hint="eastAsia" w:ascii="仿宋_GB2312" w:hAnsi="仿宋_GB2312" w:eastAsia="仿宋_GB2312" w:cs="仿宋_GB2312"/>
          <w:color w:val="auto"/>
          <w:kern w:val="0"/>
          <w:sz w:val="32"/>
          <w:szCs w:val="32"/>
          <w:highlight w:val="none"/>
          <w:lang w:val="en-US" w:eastAsia="zh-CN"/>
        </w:rPr>
        <w:t>公示期为5个工作日，无异议的自动生效。</w:t>
      </w:r>
    </w:p>
    <w:p w14:paraId="5537C65B">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代理机构对其扣分结果有异议的，应当在公示期内向交易中心提出书面申诉(书面申诉格式见附件5)，由</w:t>
      </w:r>
      <w:r>
        <w:rPr>
          <w:rFonts w:hint="eastAsia" w:ascii="仿宋_GB2312" w:hAnsi="仿宋_GB2312" w:eastAsia="仿宋_GB2312" w:cs="仿宋_GB2312"/>
          <w:color w:val="auto"/>
          <w:kern w:val="0"/>
          <w:sz w:val="32"/>
          <w:szCs w:val="32"/>
          <w:highlight w:val="none"/>
          <w:lang w:val="en-US" w:eastAsia="zh-CN"/>
        </w:rPr>
        <w:t>交易中心</w:t>
      </w:r>
      <w:r>
        <w:rPr>
          <w:rFonts w:hint="eastAsia" w:ascii="仿宋_GB2312" w:hAnsi="仿宋_GB2312" w:eastAsia="仿宋_GB2312" w:cs="仿宋_GB2312"/>
          <w:color w:val="auto"/>
          <w:kern w:val="0"/>
          <w:sz w:val="32"/>
          <w:szCs w:val="32"/>
          <w:highlight w:val="none"/>
          <w:lang w:val="en-US" w:eastAsia="zh-CN"/>
        </w:rPr>
        <w:t>组织复查，并在5个工作日内将复查结果书面或电子邮件形式告知申诉人。复查结果改变原有记分结果的，将重新予以公示。</w:t>
      </w:r>
    </w:p>
    <w:p w14:paraId="71DF1C5E">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实行</w:t>
      </w:r>
      <w:bookmarkStart w:id="11" w:name="OLE_LINK10"/>
      <w:r>
        <w:rPr>
          <w:rFonts w:hint="eastAsia" w:ascii="仿宋_GB2312" w:hAnsi="仿宋_GB2312" w:eastAsia="仿宋_GB2312" w:cs="仿宋_GB2312"/>
          <w:color w:val="auto"/>
          <w:kern w:val="0"/>
          <w:sz w:val="32"/>
          <w:szCs w:val="32"/>
          <w:highlight w:val="none"/>
          <w:lang w:val="en-US" w:eastAsia="zh-CN"/>
        </w:rPr>
        <w:t>代理机构进场交易行为“星级”评价管理，</w:t>
      </w:r>
      <w:bookmarkEnd w:id="11"/>
      <w:bookmarkStart w:id="12" w:name="OLE_LINK58"/>
      <w:bookmarkStart w:id="13" w:name="OLE_LINK56"/>
      <w:r>
        <w:rPr>
          <w:rFonts w:hint="eastAsia" w:ascii="仿宋_GB2312" w:hAnsi="仿宋_GB2312" w:eastAsia="仿宋_GB2312" w:cs="仿宋_GB2312"/>
          <w:color w:val="auto"/>
          <w:kern w:val="0"/>
          <w:sz w:val="32"/>
          <w:szCs w:val="32"/>
          <w:highlight w:val="none"/>
          <w:lang w:val="en-US" w:eastAsia="zh-CN"/>
        </w:rPr>
        <w:t>评价周期结束后，根据综合评分情况评定“星级”，由高到低分为五星、四星、三星、二星、一星：</w:t>
      </w:r>
    </w:p>
    <w:p w14:paraId="3D6B892D">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（一）</w:t>
      </w:r>
      <w:bookmarkStart w:id="14" w:name="OLE_LINK35"/>
      <w:r>
        <w:rPr>
          <w:rFonts w:hint="eastAsia" w:ascii="仿宋_GB2312" w:hAnsi="仿宋_GB2312" w:eastAsia="仿宋_GB2312" w:cs="仿宋_GB2312"/>
          <w:color w:val="auto"/>
          <w:kern w:val="0"/>
          <w:sz w:val="32"/>
          <w:szCs w:val="32"/>
          <w:highlight w:val="none"/>
          <w:lang w:val="en-US" w:eastAsia="zh-CN"/>
        </w:rPr>
        <w:t>综合评分在80（含）分以上的，按照得分排名情况授星，其中得分排名前30%（含）</w:t>
      </w:r>
      <w:bookmarkEnd w:id="14"/>
      <w:r>
        <w:rPr>
          <w:rFonts w:hint="eastAsia" w:ascii="仿宋_GB2312" w:hAnsi="仿宋_GB2312" w:eastAsia="仿宋_GB2312" w:cs="仿宋_GB2312"/>
          <w:color w:val="auto"/>
          <w:kern w:val="0"/>
          <w:sz w:val="32"/>
          <w:szCs w:val="32"/>
          <w:highlight w:val="none"/>
          <w:lang w:val="en-US" w:eastAsia="zh-CN"/>
        </w:rPr>
        <w:t>的代理机构，列为五星;得分排名前30%-65%（含）的代理机构列为四星；得分排名前65%-100%（含）的代理机构列为三星；</w:t>
      </w:r>
    </w:p>
    <w:p w14:paraId="407456E4">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（二）综合评分在70（含）-80分的代理机构列为二星；</w:t>
      </w:r>
    </w:p>
    <w:p w14:paraId="4EBA431B">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（三）</w:t>
      </w:r>
      <w:bookmarkStart w:id="15" w:name="OLE_LINK52"/>
      <w:r>
        <w:rPr>
          <w:rFonts w:hint="eastAsia" w:ascii="仿宋_GB2312" w:hAnsi="仿宋_GB2312" w:eastAsia="仿宋_GB2312" w:cs="仿宋_GB2312"/>
          <w:color w:val="auto"/>
          <w:kern w:val="0"/>
          <w:sz w:val="32"/>
          <w:szCs w:val="32"/>
          <w:highlight w:val="none"/>
          <w:lang w:val="en-US" w:eastAsia="zh-CN"/>
        </w:rPr>
        <w:t>综合评分在60（含）-70分</w:t>
      </w:r>
      <w:bookmarkEnd w:id="15"/>
      <w:r>
        <w:rPr>
          <w:rFonts w:hint="eastAsia" w:ascii="仿宋_GB2312" w:hAnsi="仿宋_GB2312" w:eastAsia="仿宋_GB2312" w:cs="仿宋_GB2312"/>
          <w:color w:val="auto"/>
          <w:kern w:val="0"/>
          <w:sz w:val="32"/>
          <w:szCs w:val="32"/>
          <w:highlight w:val="none"/>
          <w:lang w:val="en-US" w:eastAsia="zh-CN"/>
        </w:rPr>
        <w:t>的代理机构列为一星;</w:t>
      </w:r>
    </w:p>
    <w:p w14:paraId="5756B5D1">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（四）综合评分在60分以下的代理机构不予授星。</w:t>
      </w:r>
      <w:bookmarkEnd w:id="12"/>
    </w:p>
    <w:bookmarkEnd w:id="13"/>
    <w:p w14:paraId="1B06C562">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代理机构进场交易行为动态评价结果应作为代理机构进场交易行为管理的重要依据，作为相关监管部门管理的参考依据；可作为招标（采购）人自主选择代理机构的参考依据，鼓励招标（采购）人优先选用评价结果达到三星级及以上的代理机构。</w:t>
      </w:r>
    </w:p>
    <w:p w14:paraId="6249C005">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第五章 附  则</w:t>
      </w:r>
    </w:p>
    <w:p w14:paraId="09BD1256">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ascii="仿宋_GB2312" w:hAnsi="仿宋_GB2312" w:eastAsia="仿宋_GB2312" w:cs="仿宋_GB2312"/>
          <w:b w:val="0"/>
          <w:bCs w:val="0"/>
          <w:color w:val="auto"/>
          <w:sz w:val="32"/>
          <w:szCs w:val="32"/>
          <w:highlight w:val="none"/>
        </w:rPr>
        <w:t>本办法</w:t>
      </w:r>
      <w:r>
        <w:rPr>
          <w:rFonts w:hint="default" w:ascii="仿宋_GB2312" w:hAnsi="Calibri" w:eastAsia="仿宋_GB2312" w:cs="仿宋_GB2312"/>
          <w:color w:val="auto"/>
          <w:sz w:val="32"/>
          <w:szCs w:val="32"/>
          <w:highlight w:val="none"/>
          <w:lang w:val="en-US" w:eastAsia="zh-CN"/>
        </w:rPr>
        <w:t>由苏州市公共资源交易中心张家港分中心负责解释，</w:t>
      </w:r>
      <w:r>
        <w:rPr>
          <w:rFonts w:hint="eastAsia" w:ascii="仿宋_GB2312" w:hAnsi="仿宋_GB2312" w:eastAsia="仿宋_GB2312" w:cs="仿宋_GB2312"/>
          <w:color w:val="auto"/>
          <w:sz w:val="32"/>
          <w:szCs w:val="32"/>
          <w:highlight w:val="none"/>
          <w:lang w:val="en-US" w:eastAsia="zh-CN"/>
        </w:rPr>
        <w:t>自印发之日起实施。</w:t>
      </w:r>
    </w:p>
    <w:p w14:paraId="5E4F7063">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auto"/>
          <w:sz w:val="32"/>
          <w:szCs w:val="32"/>
          <w:highlight w:val="none"/>
          <w:lang w:val="en-US" w:eastAsia="zh-CN"/>
        </w:rPr>
      </w:pPr>
    </w:p>
    <w:p w14:paraId="0F8CAE8F">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附件：1.</w:t>
      </w:r>
      <w:bookmarkStart w:id="16" w:name="OLE_LINK5"/>
      <w:r>
        <w:rPr>
          <w:rFonts w:hint="eastAsia" w:ascii="仿宋_GB2312" w:hAnsi="仿宋_GB2312" w:eastAsia="仿宋_GB2312" w:cs="仿宋_GB2312"/>
          <w:color w:val="auto"/>
          <w:sz w:val="32"/>
          <w:szCs w:val="32"/>
          <w:highlight w:val="none"/>
          <w:lang w:val="en-US" w:eastAsia="zh-CN"/>
        </w:rPr>
        <w:t>苏州市公共资源交易中心张家港分中心代理机构</w:t>
      </w:r>
      <w:bookmarkStart w:id="17" w:name="OLE_LINK11"/>
      <w:r>
        <w:rPr>
          <w:rFonts w:hint="eastAsia" w:ascii="仿宋_GB2312" w:hAnsi="仿宋_GB2312" w:eastAsia="仿宋_GB2312" w:cs="仿宋_GB2312"/>
          <w:color w:val="auto"/>
          <w:sz w:val="32"/>
          <w:szCs w:val="32"/>
          <w:highlight w:val="none"/>
          <w:lang w:val="en-US" w:eastAsia="zh-CN"/>
        </w:rPr>
        <w:t>进场交易行为</w:t>
      </w:r>
      <w:bookmarkEnd w:id="17"/>
      <w:r>
        <w:rPr>
          <w:rFonts w:hint="eastAsia" w:ascii="仿宋_GB2312" w:hAnsi="仿宋_GB2312" w:eastAsia="仿宋_GB2312" w:cs="仿宋_GB2312"/>
          <w:color w:val="auto"/>
          <w:sz w:val="32"/>
          <w:szCs w:val="32"/>
          <w:highlight w:val="none"/>
          <w:lang w:val="en-US" w:eastAsia="zh-CN"/>
        </w:rPr>
        <w:t>规范承诺书</w:t>
      </w:r>
      <w:bookmarkEnd w:id="16"/>
    </w:p>
    <w:p w14:paraId="4195097A">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1440" w:firstLineChars="45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bidi="ar-SA"/>
        </w:rPr>
        <w:t>2.</w:t>
      </w:r>
      <w:r>
        <w:rPr>
          <w:rFonts w:hint="eastAsia" w:ascii="仿宋_GB2312" w:hAnsi="仿宋_GB2312" w:eastAsia="仿宋_GB2312" w:cs="仿宋_GB2312"/>
          <w:color w:val="auto"/>
          <w:sz w:val="32"/>
          <w:szCs w:val="32"/>
          <w:highlight w:val="none"/>
          <w:lang w:val="en-US" w:eastAsia="zh-CN"/>
        </w:rPr>
        <w:t>代理机构进场交易行为综合评价标准</w:t>
      </w:r>
    </w:p>
    <w:p w14:paraId="64A34488">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1440" w:firstLineChars="45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w:t>
      </w:r>
      <w:bookmarkStart w:id="18" w:name="OLE_LINK7"/>
      <w:r>
        <w:rPr>
          <w:rFonts w:hint="eastAsia" w:ascii="仿宋_GB2312" w:hAnsi="仿宋_GB2312" w:eastAsia="仿宋_GB2312" w:cs="仿宋_GB2312"/>
          <w:color w:val="auto"/>
          <w:sz w:val="32"/>
          <w:szCs w:val="32"/>
          <w:highlight w:val="none"/>
          <w:lang w:val="en-US" w:eastAsia="zh-CN"/>
        </w:rPr>
        <w:t>代理机构场内行为评价扣分标准</w:t>
      </w:r>
      <w:bookmarkEnd w:id="18"/>
    </w:p>
    <w:p w14:paraId="419F5D4B">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1440" w:firstLineChars="45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w:t>
      </w:r>
      <w:bookmarkStart w:id="19" w:name="OLE_LINK12"/>
      <w:r>
        <w:rPr>
          <w:rFonts w:hint="eastAsia" w:ascii="仿宋_GB2312" w:hAnsi="仿宋_GB2312" w:eastAsia="仿宋_GB2312" w:cs="仿宋_GB2312"/>
          <w:color w:val="auto"/>
          <w:sz w:val="32"/>
          <w:szCs w:val="32"/>
          <w:highlight w:val="none"/>
          <w:lang w:val="en-US" w:eastAsia="zh-CN"/>
        </w:rPr>
        <w:t>代理机构进场交易行为评价记分表</w:t>
      </w:r>
    </w:p>
    <w:p w14:paraId="0E164A21">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1440" w:firstLineChars="450"/>
        <w:textAlignment w:val="auto"/>
        <w:rPr>
          <w:rFonts w:hint="eastAsia" w:ascii="仿宋_GB2312" w:hAnsi="仿宋_GB2312" w:eastAsia="仿宋_GB2312" w:cs="仿宋_GB2312"/>
          <w:color w:val="auto"/>
          <w:sz w:val="32"/>
          <w:szCs w:val="32"/>
          <w:highlight w:val="none"/>
          <w:lang w:val="en-US" w:eastAsia="zh-CN"/>
        </w:rPr>
        <w:sectPr>
          <w:footerReference r:id="rId3" w:type="default"/>
          <w:pgSz w:w="11906" w:h="16838"/>
          <w:pgMar w:top="2098" w:right="1474" w:bottom="1984" w:left="1587" w:header="851" w:footer="992" w:gutter="0"/>
          <w:pgNumType w:fmt="decimal"/>
          <w:cols w:space="425" w:num="1"/>
          <w:docGrid w:type="lines" w:linePitch="312" w:charSpace="0"/>
        </w:sectPr>
      </w:pPr>
      <w:r>
        <w:rPr>
          <w:rFonts w:hint="eastAsia" w:ascii="仿宋_GB2312" w:hAnsi="仿宋_GB2312" w:eastAsia="仿宋_GB2312" w:cs="仿宋_GB2312"/>
          <w:color w:val="auto"/>
          <w:sz w:val="32"/>
          <w:szCs w:val="32"/>
          <w:highlight w:val="none"/>
          <w:lang w:val="en-US" w:eastAsia="zh-CN"/>
        </w:rPr>
        <w:t>5.代理机构进场交易行为记分</w:t>
      </w:r>
      <w:bookmarkEnd w:id="19"/>
      <w:r>
        <w:rPr>
          <w:rFonts w:hint="eastAsia" w:ascii="仿宋_GB2312" w:hAnsi="仿宋_GB2312" w:eastAsia="仿宋_GB2312" w:cs="仿宋_GB2312"/>
          <w:color w:val="auto"/>
          <w:sz w:val="32"/>
          <w:szCs w:val="32"/>
          <w:highlight w:val="none"/>
          <w:lang w:val="en-US" w:eastAsia="zh-CN"/>
        </w:rPr>
        <w:t>申诉表</w:t>
      </w:r>
    </w:p>
    <w:p w14:paraId="6966B1A1">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560" w:lineRule="exact"/>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附件1</w:t>
      </w:r>
    </w:p>
    <w:p w14:paraId="147BABE6">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560" w:lineRule="exact"/>
        <w:textAlignment w:val="auto"/>
        <w:rPr>
          <w:rFonts w:hint="eastAsia" w:ascii="黑体" w:hAnsi="黑体" w:eastAsia="黑体" w:cs="黑体"/>
          <w:color w:val="auto"/>
          <w:sz w:val="32"/>
          <w:szCs w:val="32"/>
          <w:highlight w:val="none"/>
          <w:lang w:val="en-US" w:eastAsia="zh-CN"/>
        </w:rPr>
      </w:pPr>
    </w:p>
    <w:p w14:paraId="1F763D92">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苏州市公共资源交易中心张家港分中心</w:t>
      </w:r>
    </w:p>
    <w:p w14:paraId="02038C58">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代理机构进场交易行为规范承诺书</w:t>
      </w:r>
    </w:p>
    <w:p w14:paraId="16A61C37">
      <w:pPr>
        <w:keepNext w:val="0"/>
        <w:keepLines w:val="0"/>
        <w:pageBreakBefore w:val="0"/>
        <w:widowControl w:val="0"/>
        <w:tabs>
          <w:tab w:val="left" w:pos="428"/>
        </w:tabs>
        <w:kinsoku/>
        <w:overflowPunct/>
        <w:topLinePunct w:val="0"/>
        <w:autoSpaceDE/>
        <w:autoSpaceDN/>
        <w:bidi w:val="0"/>
        <w:adjustRightInd/>
        <w:snapToGrid w:val="0"/>
        <w:spacing w:line="440" w:lineRule="exact"/>
        <w:jc w:val="left"/>
        <w:textAlignment w:val="auto"/>
        <w:rPr>
          <w:rFonts w:hint="eastAsia" w:ascii="仿宋_GB2312" w:hAnsi="Arial" w:eastAsia="仿宋_GB2312" w:cs="Arial"/>
          <w:color w:val="auto"/>
          <w:kern w:val="0"/>
          <w:sz w:val="28"/>
          <w:szCs w:val="28"/>
          <w:highlight w:val="none"/>
        </w:rPr>
      </w:pPr>
    </w:p>
    <w:p w14:paraId="7E0C2114">
      <w:pPr>
        <w:keepNext w:val="0"/>
        <w:keepLines w:val="0"/>
        <w:pageBreakBefore w:val="0"/>
        <w:widowControl w:val="0"/>
        <w:tabs>
          <w:tab w:val="left" w:pos="428"/>
        </w:tabs>
        <w:kinsoku/>
        <w:overflowPunct/>
        <w:topLinePunct w:val="0"/>
        <w:autoSpaceDE/>
        <w:autoSpaceDN/>
        <w:bidi w:val="0"/>
        <w:adjustRightInd/>
        <w:snapToGrid w:val="0"/>
        <w:spacing w:line="440" w:lineRule="exact"/>
        <w:jc w:val="left"/>
        <w:textAlignment w:val="auto"/>
        <w:rPr>
          <w:rFonts w:hint="eastAsia" w:ascii="仿宋_GB2312" w:hAnsi="Arial" w:eastAsia="仿宋_GB2312" w:cs="Arial"/>
          <w:color w:val="auto"/>
          <w:kern w:val="0"/>
          <w:sz w:val="32"/>
          <w:szCs w:val="32"/>
          <w:highlight w:val="none"/>
        </w:rPr>
      </w:pPr>
      <w:r>
        <w:rPr>
          <w:rFonts w:hint="eastAsia" w:ascii="仿宋_GB2312" w:hAnsi="Arial" w:eastAsia="仿宋_GB2312" w:cs="Arial"/>
          <w:color w:val="auto"/>
          <w:kern w:val="0"/>
          <w:sz w:val="32"/>
          <w:szCs w:val="32"/>
          <w:highlight w:val="none"/>
        </w:rPr>
        <w:t>苏州市公共资源交易中心张家港分中心：</w:t>
      </w:r>
    </w:p>
    <w:p w14:paraId="6030364C">
      <w:pPr>
        <w:keepNext w:val="0"/>
        <w:keepLines w:val="0"/>
        <w:pageBreakBefore w:val="0"/>
        <w:widowControl w:val="0"/>
        <w:tabs>
          <w:tab w:val="left" w:pos="428"/>
        </w:tabs>
        <w:kinsoku/>
        <w:overflowPunct/>
        <w:topLinePunct w:val="0"/>
        <w:autoSpaceDE/>
        <w:autoSpaceDN/>
        <w:bidi w:val="0"/>
        <w:adjustRightInd/>
        <w:snapToGrid w:val="0"/>
        <w:spacing w:line="440" w:lineRule="exact"/>
        <w:ind w:firstLine="640" w:firstLineChars="200"/>
        <w:jc w:val="left"/>
        <w:textAlignment w:val="auto"/>
        <w:rPr>
          <w:rFonts w:hint="eastAsia" w:ascii="仿宋_GB2312" w:hAnsi="Arial" w:eastAsia="仿宋_GB2312" w:cs="Arial"/>
          <w:color w:val="auto"/>
          <w:kern w:val="0"/>
          <w:sz w:val="32"/>
          <w:szCs w:val="32"/>
          <w:highlight w:val="none"/>
          <w:lang w:val="en-US" w:eastAsia="zh-CN"/>
        </w:rPr>
      </w:pPr>
      <w:r>
        <w:rPr>
          <w:rFonts w:hint="eastAsia" w:ascii="仿宋_GB2312" w:hAnsi="Arial" w:eastAsia="仿宋_GB2312" w:cs="Arial"/>
          <w:color w:val="auto"/>
          <w:kern w:val="0"/>
          <w:sz w:val="32"/>
          <w:szCs w:val="32"/>
          <w:highlight w:val="none"/>
          <w:lang w:val="en-US" w:eastAsia="zh-CN"/>
        </w:rPr>
        <w:t xml:space="preserve">为营造我市公开、公平、公正、诚实守信的公共资源交易环境，树立企业诚信守法交易形象。本单位现郑重承诺:    </w:t>
      </w:r>
    </w:p>
    <w:p w14:paraId="3720E695">
      <w:pPr>
        <w:keepNext w:val="0"/>
        <w:keepLines w:val="0"/>
        <w:pageBreakBefore w:val="0"/>
        <w:widowControl w:val="0"/>
        <w:tabs>
          <w:tab w:val="left" w:pos="428"/>
        </w:tabs>
        <w:kinsoku/>
        <w:overflowPunct/>
        <w:topLinePunct w:val="0"/>
        <w:autoSpaceDE/>
        <w:autoSpaceDN/>
        <w:bidi w:val="0"/>
        <w:adjustRightInd/>
        <w:snapToGrid w:val="0"/>
        <w:spacing w:line="440" w:lineRule="exact"/>
        <w:ind w:firstLine="640" w:firstLineChars="200"/>
        <w:jc w:val="left"/>
        <w:textAlignment w:val="auto"/>
        <w:rPr>
          <w:rFonts w:hint="eastAsia" w:ascii="仿宋_GB2312" w:hAnsi="Arial" w:eastAsia="仿宋_GB2312" w:cs="Arial"/>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一、</w:t>
      </w:r>
      <w:r>
        <w:rPr>
          <w:rFonts w:hint="eastAsia" w:ascii="仿宋_GB2312" w:hAnsi="Arial" w:eastAsia="仿宋_GB2312" w:cs="Arial"/>
          <w:color w:val="auto"/>
          <w:kern w:val="0"/>
          <w:sz w:val="32"/>
          <w:szCs w:val="32"/>
          <w:highlight w:val="none"/>
          <w:lang w:val="en-US" w:eastAsia="zh-CN"/>
        </w:rPr>
        <w:t>所提交的信息登记材料均合法、真实、准确、有效；无任何伪造、修改、虚假成分，并对所提供资料的真实性负责。</w:t>
      </w:r>
    </w:p>
    <w:p w14:paraId="51DFF6FC">
      <w:pPr>
        <w:keepNext w:val="0"/>
        <w:keepLines w:val="0"/>
        <w:pageBreakBefore w:val="0"/>
        <w:widowControl w:val="0"/>
        <w:tabs>
          <w:tab w:val="left" w:pos="428"/>
        </w:tabs>
        <w:kinsoku/>
        <w:overflowPunct/>
        <w:topLinePunct w:val="0"/>
        <w:autoSpaceDE/>
        <w:autoSpaceDN/>
        <w:bidi w:val="0"/>
        <w:adjustRightInd/>
        <w:snapToGrid w:val="0"/>
        <w:spacing w:line="440" w:lineRule="exact"/>
        <w:ind w:firstLine="640" w:firstLineChars="200"/>
        <w:jc w:val="left"/>
        <w:textAlignment w:val="auto"/>
        <w:rPr>
          <w:rFonts w:hint="default" w:ascii="仿宋_GB2312" w:hAnsi="Arial" w:eastAsia="仿宋_GB2312" w:cs="Arial"/>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二、</w:t>
      </w:r>
      <w:r>
        <w:rPr>
          <w:rFonts w:hint="default" w:ascii="仿宋_GB2312" w:hAnsi="Arial" w:eastAsia="仿宋_GB2312" w:cs="Arial"/>
          <w:color w:val="auto"/>
          <w:kern w:val="0"/>
          <w:sz w:val="32"/>
          <w:szCs w:val="32"/>
          <w:highlight w:val="none"/>
          <w:lang w:val="en-US" w:eastAsia="zh-CN"/>
        </w:rPr>
        <w:t>严格遵守公共资源交易相关法律、法规、规章</w:t>
      </w:r>
      <w:r>
        <w:rPr>
          <w:rFonts w:hint="eastAsia" w:ascii="仿宋_GB2312" w:hAnsi="Arial" w:eastAsia="仿宋_GB2312" w:cs="Arial"/>
          <w:color w:val="auto"/>
          <w:kern w:val="0"/>
          <w:sz w:val="32"/>
          <w:szCs w:val="32"/>
          <w:highlight w:val="none"/>
          <w:lang w:val="en-US" w:eastAsia="zh-CN"/>
        </w:rPr>
        <w:t>以及</w:t>
      </w:r>
      <w:r>
        <w:rPr>
          <w:rFonts w:hint="default" w:ascii="仿宋_GB2312" w:hAnsi="Arial" w:eastAsia="仿宋_GB2312" w:cs="Arial"/>
          <w:color w:val="auto"/>
          <w:kern w:val="0"/>
          <w:sz w:val="32"/>
          <w:szCs w:val="32"/>
          <w:highlight w:val="none"/>
          <w:lang w:val="en-US" w:eastAsia="zh-CN"/>
        </w:rPr>
        <w:t>其他规范性文件规定，遵守公共资源交易平台</w:t>
      </w:r>
      <w:r>
        <w:rPr>
          <w:rFonts w:hint="eastAsia" w:ascii="仿宋_GB2312" w:hAnsi="Arial" w:eastAsia="仿宋_GB2312" w:cs="Arial"/>
          <w:color w:val="auto"/>
          <w:kern w:val="0"/>
          <w:sz w:val="32"/>
          <w:szCs w:val="32"/>
          <w:highlight w:val="none"/>
          <w:lang w:val="en-US" w:eastAsia="zh-CN"/>
        </w:rPr>
        <w:t>管理制度，</w:t>
      </w:r>
      <w:r>
        <w:rPr>
          <w:rFonts w:hint="default" w:ascii="仿宋_GB2312" w:hAnsi="Arial" w:eastAsia="仿宋_GB2312" w:cs="Arial"/>
          <w:color w:val="auto"/>
          <w:kern w:val="0"/>
          <w:sz w:val="32"/>
          <w:szCs w:val="32"/>
          <w:highlight w:val="none"/>
          <w:lang w:val="en-US" w:eastAsia="zh-CN"/>
        </w:rPr>
        <w:t>如发生违法违规或其他平台规定的不良行为，自愿接受贵单位</w:t>
      </w:r>
      <w:r>
        <w:rPr>
          <w:rFonts w:hint="eastAsia" w:ascii="仿宋_GB2312" w:hAnsi="Arial" w:eastAsia="仿宋_GB2312" w:cs="Arial"/>
          <w:color w:val="auto"/>
          <w:kern w:val="0"/>
          <w:sz w:val="32"/>
          <w:szCs w:val="32"/>
          <w:highlight w:val="none"/>
          <w:lang w:val="en-US" w:eastAsia="zh-CN"/>
        </w:rPr>
        <w:t>场地预约暂缓办理</w:t>
      </w:r>
      <w:r>
        <w:rPr>
          <w:rFonts w:hint="default" w:ascii="仿宋_GB2312" w:hAnsi="Arial" w:eastAsia="仿宋_GB2312" w:cs="Arial"/>
          <w:color w:val="auto"/>
          <w:kern w:val="0"/>
          <w:sz w:val="32"/>
          <w:szCs w:val="32"/>
          <w:highlight w:val="none"/>
          <w:lang w:val="en-US" w:eastAsia="zh-CN"/>
        </w:rPr>
        <w:t>等管理措施。</w:t>
      </w:r>
    </w:p>
    <w:p w14:paraId="7D888E97">
      <w:pPr>
        <w:keepNext w:val="0"/>
        <w:keepLines w:val="0"/>
        <w:pageBreakBefore w:val="0"/>
        <w:widowControl w:val="0"/>
        <w:tabs>
          <w:tab w:val="left" w:pos="428"/>
        </w:tabs>
        <w:kinsoku/>
        <w:overflowPunct/>
        <w:topLinePunct w:val="0"/>
        <w:autoSpaceDE/>
        <w:autoSpaceDN/>
        <w:bidi w:val="0"/>
        <w:adjustRightInd/>
        <w:snapToGrid w:val="0"/>
        <w:spacing w:line="440" w:lineRule="exact"/>
        <w:ind w:firstLine="640" w:firstLineChars="200"/>
        <w:jc w:val="left"/>
        <w:textAlignment w:val="auto"/>
        <w:rPr>
          <w:rFonts w:hint="default" w:ascii="仿宋_GB2312" w:hAnsi="Arial" w:eastAsia="仿宋_GB2312" w:cs="Arial"/>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三、</w:t>
      </w:r>
      <w:r>
        <w:rPr>
          <w:rFonts w:hint="default" w:ascii="仿宋_GB2312" w:hAnsi="Arial" w:eastAsia="仿宋_GB2312" w:cs="Arial"/>
          <w:color w:val="auto"/>
          <w:kern w:val="0"/>
          <w:sz w:val="32"/>
          <w:szCs w:val="32"/>
          <w:highlight w:val="none"/>
          <w:lang w:val="en-US" w:eastAsia="zh-CN"/>
        </w:rPr>
        <w:t>自愿接受贵单位开展的场内业务检查，以及</w:t>
      </w:r>
      <w:r>
        <w:rPr>
          <w:rFonts w:hint="eastAsia" w:ascii="仿宋_GB2312" w:hAnsi="Arial" w:eastAsia="仿宋_GB2312" w:cs="Arial"/>
          <w:color w:val="auto"/>
          <w:kern w:val="0"/>
          <w:sz w:val="32"/>
          <w:szCs w:val="32"/>
          <w:highlight w:val="none"/>
          <w:lang w:val="en-US" w:eastAsia="zh-CN"/>
        </w:rPr>
        <w:t>配合相关监管</w:t>
      </w:r>
      <w:r>
        <w:rPr>
          <w:rFonts w:hint="default" w:ascii="仿宋_GB2312" w:hAnsi="Arial" w:eastAsia="仿宋_GB2312" w:cs="Arial"/>
          <w:color w:val="auto"/>
          <w:kern w:val="0"/>
          <w:sz w:val="32"/>
          <w:szCs w:val="32"/>
          <w:highlight w:val="none"/>
          <w:lang w:val="en-US" w:eastAsia="zh-CN"/>
        </w:rPr>
        <w:t>部门</w:t>
      </w:r>
      <w:r>
        <w:rPr>
          <w:rFonts w:hint="default" w:ascii="仿宋_GB2312" w:hAnsi="Arial" w:eastAsia="仿宋_GB2312" w:cs="Arial"/>
          <w:color w:val="auto"/>
          <w:kern w:val="0"/>
          <w:sz w:val="32"/>
          <w:szCs w:val="32"/>
          <w:highlight w:val="none"/>
          <w:lang w:val="en-US" w:eastAsia="zh-CN"/>
        </w:rPr>
        <w:t>开展的其他专项检查。</w:t>
      </w:r>
    </w:p>
    <w:p w14:paraId="516D5237">
      <w:pPr>
        <w:keepNext w:val="0"/>
        <w:keepLines w:val="0"/>
        <w:pageBreakBefore w:val="0"/>
        <w:widowControl w:val="0"/>
        <w:tabs>
          <w:tab w:val="left" w:pos="428"/>
        </w:tabs>
        <w:kinsoku/>
        <w:overflowPunct/>
        <w:topLinePunct w:val="0"/>
        <w:autoSpaceDE/>
        <w:autoSpaceDN/>
        <w:bidi w:val="0"/>
        <w:adjustRightInd/>
        <w:snapToGrid w:val="0"/>
        <w:spacing w:line="440" w:lineRule="exact"/>
        <w:ind w:firstLine="640" w:firstLineChars="200"/>
        <w:jc w:val="left"/>
        <w:textAlignment w:val="auto"/>
        <w:rPr>
          <w:rFonts w:hint="default" w:ascii="仿宋_GB2312" w:hAnsi="Arial" w:eastAsia="仿宋_GB2312" w:cs="Arial"/>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四、</w:t>
      </w:r>
      <w:r>
        <w:rPr>
          <w:rFonts w:hint="default" w:ascii="仿宋_GB2312" w:hAnsi="Arial" w:eastAsia="仿宋_GB2312" w:cs="Arial"/>
          <w:color w:val="auto"/>
          <w:kern w:val="0"/>
          <w:sz w:val="32"/>
          <w:szCs w:val="32"/>
          <w:highlight w:val="none"/>
          <w:lang w:val="en-US" w:eastAsia="zh-CN"/>
        </w:rPr>
        <w:t>正确使用开评标室的设备，如出现不正确使用</w:t>
      </w:r>
      <w:r>
        <w:rPr>
          <w:rFonts w:hint="eastAsia" w:ascii="仿宋_GB2312" w:hAnsi="Arial" w:eastAsia="仿宋_GB2312" w:cs="Arial"/>
          <w:color w:val="auto"/>
          <w:kern w:val="0"/>
          <w:sz w:val="32"/>
          <w:szCs w:val="32"/>
          <w:highlight w:val="none"/>
          <w:lang w:val="en-US" w:eastAsia="zh-CN"/>
        </w:rPr>
        <w:t>设备</w:t>
      </w:r>
      <w:r>
        <w:rPr>
          <w:rFonts w:hint="default" w:ascii="仿宋_GB2312" w:hAnsi="Arial" w:eastAsia="仿宋_GB2312" w:cs="Arial"/>
          <w:color w:val="auto"/>
          <w:kern w:val="0"/>
          <w:sz w:val="32"/>
          <w:szCs w:val="32"/>
          <w:highlight w:val="none"/>
          <w:lang w:val="en-US" w:eastAsia="zh-CN"/>
        </w:rPr>
        <w:t>造成设备损坏的，照价赔偿。</w:t>
      </w:r>
    </w:p>
    <w:p w14:paraId="6D3537BC">
      <w:pPr>
        <w:keepNext w:val="0"/>
        <w:keepLines w:val="0"/>
        <w:pageBreakBefore w:val="0"/>
        <w:widowControl w:val="0"/>
        <w:tabs>
          <w:tab w:val="left" w:pos="428"/>
        </w:tabs>
        <w:kinsoku/>
        <w:overflowPunct/>
        <w:topLinePunct w:val="0"/>
        <w:autoSpaceDE/>
        <w:autoSpaceDN/>
        <w:bidi w:val="0"/>
        <w:adjustRightInd/>
        <w:snapToGrid w:val="0"/>
        <w:spacing w:line="440" w:lineRule="exact"/>
        <w:ind w:firstLine="640" w:firstLineChars="200"/>
        <w:jc w:val="left"/>
        <w:textAlignment w:val="auto"/>
        <w:rPr>
          <w:rFonts w:hint="default" w:ascii="仿宋_GB2312" w:hAnsi="Arial" w:eastAsia="仿宋_GB2312" w:cs="Arial"/>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五、</w:t>
      </w:r>
      <w:r>
        <w:rPr>
          <w:rFonts w:hint="default" w:ascii="仿宋_GB2312" w:hAnsi="Arial" w:eastAsia="仿宋_GB2312" w:cs="Arial"/>
          <w:color w:val="auto"/>
          <w:kern w:val="0"/>
          <w:sz w:val="32"/>
          <w:szCs w:val="32"/>
          <w:highlight w:val="none"/>
          <w:lang w:val="en-US" w:eastAsia="zh-CN"/>
        </w:rPr>
        <w:t>自愿接受《苏州市公共资源交易中心张家港分中心代理机构进场交易行为评价管理办法（试行）》进行管理，同意采取累计</w:t>
      </w:r>
      <w:r>
        <w:rPr>
          <w:rFonts w:hint="eastAsia" w:ascii="仿宋_GB2312" w:hAnsi="Arial" w:eastAsia="仿宋_GB2312" w:cs="Arial"/>
          <w:color w:val="auto"/>
          <w:kern w:val="0"/>
          <w:sz w:val="32"/>
          <w:szCs w:val="32"/>
          <w:highlight w:val="none"/>
          <w:lang w:val="en-US" w:eastAsia="zh-CN"/>
        </w:rPr>
        <w:t>记分</w:t>
      </w:r>
      <w:r>
        <w:rPr>
          <w:rFonts w:hint="default" w:ascii="仿宋_GB2312" w:hAnsi="Arial" w:eastAsia="仿宋_GB2312" w:cs="Arial"/>
          <w:color w:val="auto"/>
          <w:kern w:val="0"/>
          <w:sz w:val="32"/>
          <w:szCs w:val="32"/>
          <w:highlight w:val="none"/>
          <w:lang w:val="en-US" w:eastAsia="zh-CN"/>
        </w:rPr>
        <w:t>的方式进行评价，服从星级清单管理，造成业务影响的，愿意承担所有责任。</w:t>
      </w:r>
    </w:p>
    <w:p w14:paraId="54F3A6D4">
      <w:pPr>
        <w:keepNext w:val="0"/>
        <w:keepLines w:val="0"/>
        <w:pageBreakBefore w:val="0"/>
        <w:widowControl w:val="0"/>
        <w:tabs>
          <w:tab w:val="left" w:pos="428"/>
        </w:tabs>
        <w:kinsoku/>
        <w:overflowPunct/>
        <w:topLinePunct w:val="0"/>
        <w:autoSpaceDE/>
        <w:autoSpaceDN/>
        <w:bidi w:val="0"/>
        <w:adjustRightInd/>
        <w:snapToGrid w:val="0"/>
        <w:spacing w:line="440" w:lineRule="exact"/>
        <w:ind w:firstLine="640" w:firstLineChars="200"/>
        <w:jc w:val="left"/>
        <w:textAlignment w:val="auto"/>
        <w:rPr>
          <w:rFonts w:hint="default" w:ascii="仿宋_GB2312" w:hAnsi="Arial" w:eastAsia="仿宋_GB2312" w:cs="Arial"/>
          <w:color w:val="auto"/>
          <w:kern w:val="0"/>
          <w:sz w:val="32"/>
          <w:szCs w:val="32"/>
          <w:highlight w:val="none"/>
          <w:lang w:val="en-US" w:eastAsia="zh-CN"/>
        </w:rPr>
      </w:pPr>
      <w:r>
        <w:rPr>
          <w:rFonts w:hint="default" w:ascii="仿宋_GB2312" w:hAnsi="Arial" w:eastAsia="仿宋_GB2312" w:cs="Arial"/>
          <w:color w:val="auto"/>
          <w:kern w:val="0"/>
          <w:sz w:val="32"/>
          <w:szCs w:val="32"/>
          <w:highlight w:val="none"/>
          <w:lang w:val="en-US" w:eastAsia="zh-CN"/>
        </w:rPr>
        <w:t>特此承诺</w:t>
      </w:r>
    </w:p>
    <w:p w14:paraId="04DFF7B9">
      <w:pPr>
        <w:keepNext w:val="0"/>
        <w:keepLines w:val="0"/>
        <w:pageBreakBefore w:val="0"/>
        <w:widowControl w:val="0"/>
        <w:tabs>
          <w:tab w:val="left" w:pos="428"/>
        </w:tabs>
        <w:kinsoku/>
        <w:wordWrap/>
        <w:overflowPunct/>
        <w:topLinePunct w:val="0"/>
        <w:autoSpaceDE/>
        <w:autoSpaceDN/>
        <w:bidi w:val="0"/>
        <w:adjustRightInd/>
        <w:snapToGrid w:val="0"/>
        <w:spacing w:line="440" w:lineRule="exact"/>
        <w:jc w:val="both"/>
        <w:textAlignment w:val="auto"/>
        <w:rPr>
          <w:rFonts w:hint="default" w:ascii="仿宋_GB2312" w:hAnsi="Arial" w:eastAsia="仿宋_GB2312" w:cs="Arial"/>
          <w:color w:val="auto"/>
          <w:kern w:val="0"/>
          <w:sz w:val="32"/>
          <w:szCs w:val="32"/>
          <w:highlight w:val="none"/>
          <w:lang w:val="en-US" w:eastAsia="zh-CN"/>
        </w:rPr>
      </w:pPr>
    </w:p>
    <w:p w14:paraId="53226E70">
      <w:pPr>
        <w:keepNext w:val="0"/>
        <w:keepLines w:val="0"/>
        <w:pageBreakBefore w:val="0"/>
        <w:widowControl w:val="0"/>
        <w:tabs>
          <w:tab w:val="left" w:pos="428"/>
        </w:tabs>
        <w:kinsoku/>
        <w:wordWrap w:val="0"/>
        <w:overflowPunct/>
        <w:topLinePunct w:val="0"/>
        <w:autoSpaceDE/>
        <w:autoSpaceDN/>
        <w:bidi w:val="0"/>
        <w:adjustRightInd/>
        <w:snapToGrid w:val="0"/>
        <w:spacing w:line="440" w:lineRule="exact"/>
        <w:ind w:firstLine="640" w:firstLineChars="200"/>
        <w:jc w:val="right"/>
        <w:textAlignment w:val="auto"/>
        <w:rPr>
          <w:rFonts w:hint="default" w:ascii="仿宋_GB2312" w:hAnsi="Arial" w:eastAsia="仿宋_GB2312" w:cs="Arial"/>
          <w:color w:val="auto"/>
          <w:kern w:val="0"/>
          <w:sz w:val="32"/>
          <w:szCs w:val="32"/>
          <w:highlight w:val="none"/>
          <w:lang w:val="en-US" w:eastAsia="zh-CN"/>
        </w:rPr>
      </w:pPr>
      <w:r>
        <w:rPr>
          <w:rFonts w:hint="default" w:ascii="仿宋_GB2312" w:hAnsi="Arial" w:eastAsia="仿宋_GB2312" w:cs="Arial"/>
          <w:color w:val="auto"/>
          <w:kern w:val="0"/>
          <w:sz w:val="32"/>
          <w:szCs w:val="32"/>
          <w:highlight w:val="none"/>
          <w:lang w:val="en-US" w:eastAsia="zh-CN"/>
        </w:rPr>
        <w:t>法定代表人签名:</w:t>
      </w:r>
      <w:r>
        <w:rPr>
          <w:rFonts w:hint="eastAsia" w:ascii="仿宋_GB2312" w:hAnsi="Arial" w:eastAsia="仿宋_GB2312" w:cs="Arial"/>
          <w:color w:val="auto"/>
          <w:kern w:val="0"/>
          <w:sz w:val="32"/>
          <w:szCs w:val="32"/>
          <w:highlight w:val="none"/>
          <w:lang w:val="en-US" w:eastAsia="zh-CN"/>
        </w:rPr>
        <w:t xml:space="preserve">          </w:t>
      </w:r>
    </w:p>
    <w:p w14:paraId="7C7229FF">
      <w:pPr>
        <w:keepNext w:val="0"/>
        <w:keepLines w:val="0"/>
        <w:pageBreakBefore w:val="0"/>
        <w:widowControl w:val="0"/>
        <w:tabs>
          <w:tab w:val="left" w:pos="428"/>
        </w:tabs>
        <w:kinsoku/>
        <w:wordWrap w:val="0"/>
        <w:overflowPunct/>
        <w:topLinePunct w:val="0"/>
        <w:autoSpaceDE/>
        <w:autoSpaceDN/>
        <w:bidi w:val="0"/>
        <w:adjustRightInd/>
        <w:snapToGrid w:val="0"/>
        <w:spacing w:line="440" w:lineRule="exact"/>
        <w:ind w:firstLine="640" w:firstLineChars="200"/>
        <w:jc w:val="right"/>
        <w:textAlignment w:val="auto"/>
        <w:rPr>
          <w:rFonts w:hint="eastAsia" w:ascii="仿宋_GB2312" w:hAnsi="Arial" w:eastAsia="仿宋_GB2312" w:cs="Arial"/>
          <w:color w:val="auto"/>
          <w:kern w:val="0"/>
          <w:sz w:val="32"/>
          <w:szCs w:val="32"/>
          <w:highlight w:val="none"/>
          <w:lang w:val="en-US" w:eastAsia="zh-CN"/>
        </w:rPr>
      </w:pPr>
      <w:r>
        <w:rPr>
          <w:rFonts w:hint="default" w:ascii="仿宋_GB2312" w:hAnsi="Arial" w:eastAsia="仿宋_GB2312" w:cs="Arial"/>
          <w:color w:val="auto"/>
          <w:kern w:val="0"/>
          <w:sz w:val="32"/>
          <w:szCs w:val="32"/>
          <w:highlight w:val="none"/>
          <w:lang w:val="en-US" w:eastAsia="zh-CN"/>
        </w:rPr>
        <w:t>企业名称(盖章)</w:t>
      </w:r>
      <w:r>
        <w:rPr>
          <w:rFonts w:hint="eastAsia" w:ascii="仿宋_GB2312" w:hAnsi="Arial" w:eastAsia="仿宋_GB2312" w:cs="Arial"/>
          <w:color w:val="auto"/>
          <w:kern w:val="0"/>
          <w:sz w:val="32"/>
          <w:szCs w:val="32"/>
          <w:highlight w:val="none"/>
          <w:lang w:val="en-US" w:eastAsia="zh-CN"/>
        </w:rPr>
        <w:t xml:space="preserve">：         </w:t>
      </w:r>
    </w:p>
    <w:p w14:paraId="66CD20F1">
      <w:pPr>
        <w:keepNext w:val="0"/>
        <w:keepLines w:val="0"/>
        <w:pageBreakBefore w:val="0"/>
        <w:widowControl w:val="0"/>
        <w:tabs>
          <w:tab w:val="left" w:pos="428"/>
        </w:tabs>
        <w:kinsoku/>
        <w:wordWrap w:val="0"/>
        <w:overflowPunct/>
        <w:topLinePunct w:val="0"/>
        <w:autoSpaceDE/>
        <w:autoSpaceDN/>
        <w:bidi w:val="0"/>
        <w:adjustRightInd/>
        <w:snapToGrid/>
        <w:spacing w:line="440" w:lineRule="exact"/>
        <w:ind w:firstLine="640" w:firstLineChars="200"/>
        <w:jc w:val="right"/>
        <w:textAlignment w:val="auto"/>
        <w:rPr>
          <w:rFonts w:hint="eastAsia" w:ascii="仿宋_GB2312" w:hAnsi="Arial" w:eastAsia="仿宋_GB2312" w:cs="Arial"/>
          <w:color w:val="auto"/>
          <w:kern w:val="0"/>
          <w:sz w:val="32"/>
          <w:szCs w:val="32"/>
          <w:highlight w:val="none"/>
          <w:lang w:val="en-US" w:eastAsia="zh-CN"/>
        </w:rPr>
      </w:pPr>
      <w:r>
        <w:rPr>
          <w:rFonts w:hint="eastAsia" w:ascii="仿宋_GB2312" w:hAnsi="Arial" w:eastAsia="仿宋_GB2312" w:cs="Arial"/>
          <w:color w:val="auto"/>
          <w:kern w:val="0"/>
          <w:sz w:val="32"/>
          <w:szCs w:val="32"/>
          <w:highlight w:val="none"/>
          <w:lang w:val="en-US" w:eastAsia="zh-CN"/>
        </w:rPr>
        <w:t>年    月    日</w:t>
      </w:r>
    </w:p>
    <w:p w14:paraId="5DF65B1E">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40" w:lineRule="exact"/>
        <w:textAlignment w:val="auto"/>
        <w:rPr>
          <w:rFonts w:hint="default" w:ascii="仿宋_GB2312" w:hAnsi="仿宋_GB2312" w:eastAsia="仿宋_GB2312" w:cs="仿宋_GB2312"/>
          <w:color w:val="auto"/>
          <w:sz w:val="32"/>
          <w:szCs w:val="32"/>
          <w:highlight w:val="none"/>
          <w:lang w:val="en-US" w:eastAsia="zh-CN"/>
        </w:rPr>
        <w:sectPr>
          <w:pgSz w:w="11906" w:h="16838"/>
          <w:pgMar w:top="2098" w:right="1474" w:bottom="1984" w:left="1587" w:header="851" w:footer="992" w:gutter="0"/>
          <w:pgNumType w:fmt="decimal"/>
          <w:cols w:space="425" w:num="1"/>
          <w:docGrid w:type="lines" w:linePitch="312" w:charSpace="0"/>
        </w:sectPr>
      </w:pPr>
    </w:p>
    <w:p w14:paraId="3E4F5E14">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附件2</w:t>
      </w:r>
    </w:p>
    <w:p w14:paraId="6B9D0792">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highlight w:val="none"/>
          <w:lang w:val="en-US" w:eastAsia="zh-CN"/>
        </w:rPr>
      </w:pPr>
    </w:p>
    <w:p w14:paraId="567E4844">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napToGrid w:val="0"/>
          <w:color w:val="auto"/>
          <w:spacing w:val="4"/>
          <w:kern w:val="0"/>
          <w:position w:val="3"/>
          <w:sz w:val="44"/>
          <w:szCs w:val="44"/>
          <w:highlight w:val="none"/>
          <w:lang w:val="en-US" w:eastAsia="zh-CN"/>
        </w:rPr>
      </w:pPr>
      <w:r>
        <w:rPr>
          <w:rFonts w:hint="eastAsia" w:ascii="方正小标宋简体" w:hAnsi="方正小标宋简体" w:eastAsia="方正小标宋简体" w:cs="方正小标宋简体"/>
          <w:b w:val="0"/>
          <w:bCs w:val="0"/>
          <w:snapToGrid w:val="0"/>
          <w:color w:val="auto"/>
          <w:spacing w:val="4"/>
          <w:kern w:val="0"/>
          <w:position w:val="3"/>
          <w:sz w:val="44"/>
          <w:szCs w:val="44"/>
          <w:highlight w:val="none"/>
          <w:lang w:eastAsia="en-US"/>
        </w:rPr>
        <w:t>代理机构进场交易行为</w:t>
      </w:r>
      <w:r>
        <w:rPr>
          <w:rFonts w:hint="eastAsia" w:ascii="方正小标宋简体" w:hAnsi="方正小标宋简体" w:eastAsia="方正小标宋简体" w:cs="方正小标宋简体"/>
          <w:b w:val="0"/>
          <w:bCs w:val="0"/>
          <w:snapToGrid w:val="0"/>
          <w:color w:val="auto"/>
          <w:spacing w:val="4"/>
          <w:kern w:val="0"/>
          <w:position w:val="3"/>
          <w:sz w:val="44"/>
          <w:szCs w:val="44"/>
          <w:highlight w:val="none"/>
          <w:lang w:val="en-US" w:eastAsia="zh-CN"/>
        </w:rPr>
        <w:t>综合</w:t>
      </w:r>
      <w:r>
        <w:rPr>
          <w:rFonts w:hint="eastAsia" w:ascii="方正小标宋简体" w:hAnsi="方正小标宋简体" w:eastAsia="方正小标宋简体" w:cs="方正小标宋简体"/>
          <w:b w:val="0"/>
          <w:bCs w:val="0"/>
          <w:snapToGrid w:val="0"/>
          <w:color w:val="auto"/>
          <w:spacing w:val="4"/>
          <w:kern w:val="0"/>
          <w:position w:val="3"/>
          <w:sz w:val="44"/>
          <w:szCs w:val="44"/>
          <w:highlight w:val="none"/>
          <w:lang w:eastAsia="en-US"/>
        </w:rPr>
        <w:t>评价</w:t>
      </w:r>
      <w:r>
        <w:rPr>
          <w:rFonts w:hint="eastAsia" w:ascii="方正小标宋简体" w:hAnsi="方正小标宋简体" w:eastAsia="方正小标宋简体" w:cs="方正小标宋简体"/>
          <w:b w:val="0"/>
          <w:bCs w:val="0"/>
          <w:snapToGrid w:val="0"/>
          <w:color w:val="auto"/>
          <w:spacing w:val="4"/>
          <w:kern w:val="0"/>
          <w:position w:val="3"/>
          <w:sz w:val="44"/>
          <w:szCs w:val="44"/>
          <w:highlight w:val="none"/>
          <w:lang w:val="en-US" w:eastAsia="zh-CN"/>
        </w:rPr>
        <w:t>标准</w:t>
      </w:r>
    </w:p>
    <w:p w14:paraId="4E9EB7E0">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napToGrid w:val="0"/>
          <w:color w:val="auto"/>
          <w:spacing w:val="4"/>
          <w:kern w:val="0"/>
          <w:position w:val="3"/>
          <w:sz w:val="44"/>
          <w:szCs w:val="44"/>
          <w:highlight w:val="none"/>
          <w:lang w:val="en-US" w:eastAsia="zh-CN"/>
        </w:rPr>
      </w:pPr>
    </w:p>
    <w:tbl>
      <w:tblPr>
        <w:tblStyle w:val="7"/>
        <w:tblW w:w="91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88"/>
        <w:gridCol w:w="853"/>
        <w:gridCol w:w="818"/>
        <w:gridCol w:w="855"/>
        <w:gridCol w:w="5776"/>
      </w:tblGrid>
      <w:tr w14:paraId="675B1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5" w:hRule="atLeast"/>
          <w:jc w:val="center"/>
        </w:trPr>
        <w:tc>
          <w:tcPr>
            <w:tcW w:w="1741" w:type="dxa"/>
            <w:gridSpan w:val="2"/>
            <w:shd w:val="clear" w:color="auto" w:fill="auto"/>
            <w:noWrap w:val="0"/>
            <w:vAlign w:val="center"/>
          </w:tcPr>
          <w:p w14:paraId="11F13711">
            <w:pPr>
              <w:keepNext w:val="0"/>
              <w:keepLines w:val="0"/>
              <w:pageBreakBefore w:val="0"/>
              <w:widowControl w:val="0"/>
              <w:tabs>
                <w:tab w:val="left" w:pos="1018"/>
              </w:tabs>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
                <w:bCs/>
                <w:color w:val="auto"/>
                <w:kern w:val="2"/>
                <w:sz w:val="28"/>
                <w:szCs w:val="36"/>
                <w:highlight w:val="none"/>
                <w:vertAlign w:val="baseline"/>
                <w:lang w:val="en-US" w:eastAsia="zh-CN" w:bidi="ar-SA"/>
              </w:rPr>
            </w:pPr>
            <w:r>
              <w:rPr>
                <w:rFonts w:hint="default" w:ascii="Times New Roman" w:hAnsi="Times New Roman" w:cs="Times New Roman"/>
                <w:b/>
                <w:bCs/>
                <w:color w:val="auto"/>
                <w:kern w:val="2"/>
                <w:sz w:val="28"/>
                <w:szCs w:val="36"/>
                <w:highlight w:val="none"/>
                <w:vertAlign w:val="baseline"/>
                <w:lang w:val="en-US" w:eastAsia="zh-CN" w:bidi="ar-SA"/>
              </w:rPr>
              <w:t>信息类别</w:t>
            </w:r>
          </w:p>
        </w:tc>
        <w:tc>
          <w:tcPr>
            <w:tcW w:w="818" w:type="dxa"/>
            <w:shd w:val="clear" w:color="auto" w:fill="auto"/>
            <w:noWrap w:val="0"/>
            <w:vAlign w:val="center"/>
          </w:tcPr>
          <w:p w14:paraId="541A5D6C">
            <w:pPr>
              <w:keepNext w:val="0"/>
              <w:keepLines w:val="0"/>
              <w:pageBreakBefore w:val="0"/>
              <w:widowControl w:val="0"/>
              <w:tabs>
                <w:tab w:val="left" w:pos="1018"/>
              </w:tabs>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bCs/>
                <w:color w:val="auto"/>
                <w:kern w:val="2"/>
                <w:sz w:val="28"/>
                <w:szCs w:val="36"/>
                <w:highlight w:val="none"/>
                <w:vertAlign w:val="baseline"/>
                <w:lang w:val="en-US" w:eastAsia="zh-CN" w:bidi="ar-SA"/>
              </w:rPr>
            </w:pPr>
            <w:r>
              <w:rPr>
                <w:rFonts w:hint="default" w:ascii="Times New Roman" w:hAnsi="Times New Roman" w:cs="Times New Roman"/>
                <w:b/>
                <w:bCs/>
                <w:color w:val="auto"/>
                <w:kern w:val="2"/>
                <w:sz w:val="28"/>
                <w:szCs w:val="36"/>
                <w:highlight w:val="none"/>
                <w:vertAlign w:val="baseline"/>
                <w:lang w:val="en-US" w:eastAsia="zh-CN" w:bidi="ar-SA"/>
              </w:rPr>
              <w:t>分值</w:t>
            </w:r>
          </w:p>
        </w:tc>
        <w:tc>
          <w:tcPr>
            <w:tcW w:w="6631" w:type="dxa"/>
            <w:gridSpan w:val="2"/>
            <w:shd w:val="clear" w:color="auto" w:fill="auto"/>
            <w:noWrap w:val="0"/>
            <w:vAlign w:val="center"/>
          </w:tcPr>
          <w:p w14:paraId="5485A71B">
            <w:pPr>
              <w:keepNext w:val="0"/>
              <w:keepLines w:val="0"/>
              <w:pageBreakBefore w:val="0"/>
              <w:widowControl w:val="0"/>
              <w:tabs>
                <w:tab w:val="left" w:pos="1018"/>
              </w:tabs>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
                <w:bCs/>
                <w:color w:val="auto"/>
                <w:kern w:val="2"/>
                <w:sz w:val="28"/>
                <w:szCs w:val="36"/>
                <w:highlight w:val="none"/>
                <w:vertAlign w:val="baseline"/>
                <w:lang w:val="en-US" w:eastAsia="zh-CN" w:bidi="ar-SA"/>
              </w:rPr>
            </w:pPr>
            <w:r>
              <w:rPr>
                <w:rFonts w:hint="default" w:ascii="Times New Roman" w:hAnsi="Times New Roman" w:cs="Times New Roman"/>
                <w:b/>
                <w:bCs/>
                <w:color w:val="auto"/>
                <w:kern w:val="2"/>
                <w:sz w:val="28"/>
                <w:szCs w:val="36"/>
                <w:highlight w:val="none"/>
                <w:vertAlign w:val="baseline"/>
                <w:lang w:val="en-US" w:eastAsia="zh-CN" w:bidi="ar-SA"/>
              </w:rPr>
              <w:t>评价标准</w:t>
            </w:r>
          </w:p>
        </w:tc>
      </w:tr>
      <w:tr w14:paraId="16AE5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741" w:type="dxa"/>
            <w:gridSpan w:val="2"/>
            <w:shd w:val="clear" w:color="auto" w:fill="auto"/>
            <w:noWrap w:val="0"/>
            <w:vAlign w:val="center"/>
          </w:tcPr>
          <w:p w14:paraId="1C173994">
            <w:pPr>
              <w:keepNext w:val="0"/>
              <w:keepLines w:val="0"/>
              <w:pageBreakBefore w:val="0"/>
              <w:widowControl w:val="0"/>
              <w:tabs>
                <w:tab w:val="left" w:pos="1018"/>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4"/>
                <w:szCs w:val="32"/>
                <w:highlight w:val="none"/>
                <w:vertAlign w:val="baseline"/>
                <w:lang w:val="en-US" w:eastAsia="zh-CN" w:bidi="ar-SA"/>
              </w:rPr>
            </w:pPr>
            <w:r>
              <w:rPr>
                <w:rFonts w:hint="default" w:ascii="Times New Roman" w:hAnsi="Times New Roman" w:cs="Times New Roman"/>
                <w:color w:val="auto"/>
                <w:kern w:val="2"/>
                <w:sz w:val="24"/>
                <w:szCs w:val="32"/>
                <w:highlight w:val="none"/>
                <w:vertAlign w:val="baseline"/>
                <w:lang w:val="en-US" w:eastAsia="zh-CN" w:bidi="ar-SA"/>
              </w:rPr>
              <w:t>基本分</w:t>
            </w:r>
          </w:p>
        </w:tc>
        <w:tc>
          <w:tcPr>
            <w:tcW w:w="818" w:type="dxa"/>
            <w:shd w:val="clear" w:color="auto" w:fill="auto"/>
            <w:noWrap w:val="0"/>
            <w:vAlign w:val="center"/>
          </w:tcPr>
          <w:p w14:paraId="1EADCC29">
            <w:pPr>
              <w:keepNext w:val="0"/>
              <w:keepLines w:val="0"/>
              <w:pageBreakBefore w:val="0"/>
              <w:widowControl w:val="0"/>
              <w:tabs>
                <w:tab w:val="left" w:pos="1018"/>
              </w:tabs>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kern w:val="2"/>
                <w:sz w:val="24"/>
                <w:szCs w:val="32"/>
                <w:highlight w:val="none"/>
                <w:vertAlign w:val="baseline"/>
                <w:lang w:val="en-US" w:eastAsia="zh-CN" w:bidi="ar-SA"/>
              </w:rPr>
            </w:pPr>
            <w:r>
              <w:rPr>
                <w:rFonts w:hint="default" w:ascii="Times New Roman" w:hAnsi="Times New Roman" w:eastAsia="宋体" w:cs="Times New Roman"/>
                <w:color w:val="auto"/>
                <w:kern w:val="2"/>
                <w:sz w:val="24"/>
                <w:szCs w:val="32"/>
                <w:highlight w:val="none"/>
                <w:vertAlign w:val="baseline"/>
                <w:lang w:val="en-US" w:eastAsia="zh-CN" w:bidi="ar-SA"/>
              </w:rPr>
              <w:t>2</w:t>
            </w:r>
            <w:r>
              <w:rPr>
                <w:rFonts w:hint="eastAsia" w:ascii="Times New Roman" w:hAnsi="Times New Roman" w:eastAsia="宋体" w:cs="Times New Roman"/>
                <w:color w:val="auto"/>
                <w:kern w:val="2"/>
                <w:sz w:val="24"/>
                <w:szCs w:val="32"/>
                <w:highlight w:val="none"/>
                <w:vertAlign w:val="baseline"/>
                <w:lang w:val="en-US" w:eastAsia="zh-CN" w:bidi="ar-SA"/>
              </w:rPr>
              <w:t>5</w:t>
            </w:r>
          </w:p>
        </w:tc>
        <w:tc>
          <w:tcPr>
            <w:tcW w:w="6631" w:type="dxa"/>
            <w:gridSpan w:val="2"/>
            <w:shd w:val="clear" w:color="auto" w:fill="auto"/>
            <w:noWrap w:val="0"/>
            <w:vAlign w:val="top"/>
          </w:tcPr>
          <w:p w14:paraId="130E7B0D">
            <w:pPr>
              <w:keepNext w:val="0"/>
              <w:keepLines w:val="0"/>
              <w:pageBreakBefore w:val="0"/>
              <w:widowControl w:val="0"/>
              <w:tabs>
                <w:tab w:val="left" w:pos="1018"/>
              </w:tabs>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kern w:val="2"/>
                <w:sz w:val="24"/>
                <w:szCs w:val="32"/>
                <w:highlight w:val="none"/>
                <w:vertAlign w:val="baseline"/>
                <w:lang w:val="en-US" w:eastAsia="zh-CN" w:bidi="ar-SA"/>
              </w:rPr>
            </w:pPr>
            <w:r>
              <w:rPr>
                <w:rFonts w:hint="default" w:ascii="Times New Roman" w:hAnsi="Times New Roman" w:eastAsia="宋体" w:cs="Times New Roman"/>
                <w:color w:val="auto"/>
                <w:kern w:val="2"/>
                <w:sz w:val="24"/>
                <w:szCs w:val="32"/>
                <w:highlight w:val="none"/>
                <w:vertAlign w:val="baseline"/>
                <w:lang w:val="en-US" w:eastAsia="zh-CN" w:bidi="ar-SA"/>
              </w:rPr>
              <w:t>（1）按要求在</w:t>
            </w:r>
            <w:r>
              <w:rPr>
                <w:rFonts w:hint="default" w:ascii="Times New Roman" w:hAnsi="Times New Roman" w:cs="Times New Roman"/>
                <w:color w:val="auto"/>
                <w:kern w:val="2"/>
                <w:sz w:val="24"/>
                <w:szCs w:val="32"/>
                <w:highlight w:val="none"/>
                <w:vertAlign w:val="baseline"/>
                <w:lang w:val="en-US" w:eastAsia="zh-CN" w:bidi="ar-SA"/>
              </w:rPr>
              <w:t>公共资源交易平台</w:t>
            </w:r>
            <w:r>
              <w:rPr>
                <w:rFonts w:hint="default" w:ascii="Times New Roman" w:hAnsi="Times New Roman" w:cs="Times New Roman"/>
                <w:color w:val="auto"/>
                <w:kern w:val="2"/>
                <w:sz w:val="24"/>
                <w:szCs w:val="32"/>
                <w:highlight w:val="none"/>
                <w:vertAlign w:val="baseline"/>
                <w:lang w:val="en-US" w:eastAsia="zh-CN" w:bidi="ar-SA"/>
              </w:rPr>
              <w:t>主体信息库完成企业基本信息备案手续</w:t>
            </w:r>
            <w:r>
              <w:rPr>
                <w:rFonts w:hint="default" w:ascii="Times New Roman" w:hAnsi="Times New Roman" w:eastAsia="宋体" w:cs="Times New Roman"/>
                <w:color w:val="auto"/>
                <w:kern w:val="2"/>
                <w:sz w:val="24"/>
                <w:szCs w:val="32"/>
                <w:highlight w:val="none"/>
                <w:vertAlign w:val="baseline"/>
                <w:lang w:val="en-US" w:eastAsia="zh-CN" w:bidi="ar-SA"/>
              </w:rPr>
              <w:t>，签订代理机构进场交易行为规范承诺书。提交资料齐全、信息填报完整的，得基本分2</w:t>
            </w:r>
            <w:r>
              <w:rPr>
                <w:rFonts w:hint="eastAsia" w:ascii="Times New Roman" w:hAnsi="Times New Roman" w:eastAsia="宋体" w:cs="Times New Roman"/>
                <w:color w:val="auto"/>
                <w:kern w:val="2"/>
                <w:sz w:val="24"/>
                <w:szCs w:val="32"/>
                <w:highlight w:val="none"/>
                <w:vertAlign w:val="baseline"/>
                <w:lang w:val="en-US" w:eastAsia="zh-CN" w:bidi="ar-SA"/>
              </w:rPr>
              <w:t>5</w:t>
            </w:r>
            <w:r>
              <w:rPr>
                <w:rFonts w:hint="default" w:ascii="Times New Roman" w:hAnsi="Times New Roman" w:eastAsia="宋体" w:cs="Times New Roman"/>
                <w:color w:val="auto"/>
                <w:kern w:val="2"/>
                <w:sz w:val="24"/>
                <w:szCs w:val="32"/>
                <w:highlight w:val="none"/>
                <w:vertAlign w:val="baseline"/>
                <w:lang w:val="en-US" w:eastAsia="zh-CN" w:bidi="ar-SA"/>
              </w:rPr>
              <w:t>分，否则不得分。</w:t>
            </w:r>
          </w:p>
          <w:p w14:paraId="333A4A0D">
            <w:pPr>
              <w:keepNext w:val="0"/>
              <w:keepLines w:val="0"/>
              <w:pageBreakBefore w:val="0"/>
              <w:widowControl w:val="0"/>
              <w:tabs>
                <w:tab w:val="left" w:pos="1018"/>
              </w:tabs>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kern w:val="2"/>
                <w:sz w:val="24"/>
                <w:szCs w:val="32"/>
                <w:highlight w:val="none"/>
                <w:vertAlign w:val="baseline"/>
                <w:lang w:val="en-US" w:eastAsia="zh-CN" w:bidi="ar-SA"/>
              </w:rPr>
            </w:pPr>
            <w:r>
              <w:rPr>
                <w:rFonts w:hint="default" w:ascii="Times New Roman" w:hAnsi="Times New Roman" w:eastAsia="宋体" w:cs="Times New Roman"/>
                <w:color w:val="auto"/>
                <w:kern w:val="2"/>
                <w:sz w:val="24"/>
                <w:szCs w:val="32"/>
                <w:highlight w:val="none"/>
                <w:vertAlign w:val="baseline"/>
                <w:lang w:val="en-US" w:eastAsia="zh-CN" w:bidi="ar-SA"/>
              </w:rPr>
              <w:t>（2）信息动态更新不及时</w:t>
            </w:r>
            <w:r>
              <w:rPr>
                <w:rFonts w:hint="default" w:ascii="Times New Roman" w:hAnsi="Times New Roman" w:eastAsia="宋体" w:cs="Times New Roman"/>
                <w:color w:val="auto"/>
                <w:kern w:val="2"/>
                <w:sz w:val="24"/>
                <w:szCs w:val="32"/>
                <w:highlight w:val="none"/>
                <w:vertAlign w:val="baseline"/>
                <w:lang w:val="en-US" w:eastAsia="zh-CN" w:bidi="ar-SA"/>
              </w:rPr>
              <w:t>、不完整而造成不良后果的，发现1次扣</w:t>
            </w:r>
            <w:r>
              <w:rPr>
                <w:rFonts w:hint="eastAsia" w:ascii="Times New Roman" w:hAnsi="Times New Roman" w:eastAsia="宋体" w:cs="Times New Roman"/>
                <w:color w:val="auto"/>
                <w:kern w:val="2"/>
                <w:sz w:val="24"/>
                <w:szCs w:val="32"/>
                <w:highlight w:val="none"/>
                <w:vertAlign w:val="baseline"/>
                <w:lang w:val="en-US" w:eastAsia="zh-CN" w:bidi="ar-SA"/>
              </w:rPr>
              <w:t>5</w:t>
            </w:r>
            <w:r>
              <w:rPr>
                <w:rFonts w:hint="default" w:ascii="Times New Roman" w:hAnsi="Times New Roman" w:eastAsia="宋体" w:cs="Times New Roman"/>
                <w:color w:val="auto"/>
                <w:kern w:val="2"/>
                <w:sz w:val="24"/>
                <w:szCs w:val="32"/>
                <w:highlight w:val="none"/>
                <w:vertAlign w:val="baseline"/>
                <w:lang w:val="en-US" w:eastAsia="zh-CN" w:bidi="ar-SA"/>
              </w:rPr>
              <w:t>分，该项扣完为止。</w:t>
            </w:r>
          </w:p>
        </w:tc>
      </w:tr>
      <w:tr w14:paraId="2AC23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24" w:hRule="atLeast"/>
          <w:jc w:val="center"/>
        </w:trPr>
        <w:tc>
          <w:tcPr>
            <w:tcW w:w="888" w:type="dxa"/>
            <w:vMerge w:val="restart"/>
            <w:shd w:val="clear" w:color="auto" w:fill="auto"/>
            <w:noWrap w:val="0"/>
            <w:vAlign w:val="center"/>
          </w:tcPr>
          <w:p w14:paraId="30696207">
            <w:pPr>
              <w:keepNext w:val="0"/>
              <w:keepLines w:val="0"/>
              <w:pageBreakBefore w:val="0"/>
              <w:widowControl w:val="0"/>
              <w:tabs>
                <w:tab w:val="left" w:pos="1018"/>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4"/>
                <w:szCs w:val="32"/>
                <w:highlight w:val="none"/>
                <w:vertAlign w:val="baseline"/>
                <w:lang w:val="en-US" w:eastAsia="zh-CN" w:bidi="ar-SA"/>
              </w:rPr>
            </w:pPr>
            <w:r>
              <w:rPr>
                <w:rFonts w:hint="default" w:ascii="Times New Roman" w:hAnsi="Times New Roman" w:cs="Times New Roman"/>
                <w:color w:val="auto"/>
                <w:kern w:val="2"/>
                <w:sz w:val="24"/>
                <w:szCs w:val="32"/>
                <w:highlight w:val="none"/>
                <w:vertAlign w:val="baseline"/>
                <w:lang w:val="en-US" w:eastAsia="zh-CN" w:bidi="ar-SA"/>
              </w:rPr>
              <w:t>综合实力</w:t>
            </w:r>
          </w:p>
        </w:tc>
        <w:tc>
          <w:tcPr>
            <w:tcW w:w="853" w:type="dxa"/>
            <w:vMerge w:val="restart"/>
            <w:shd w:val="clear" w:color="auto" w:fill="auto"/>
            <w:noWrap w:val="0"/>
            <w:vAlign w:val="center"/>
          </w:tcPr>
          <w:p w14:paraId="0C989396">
            <w:pPr>
              <w:keepNext w:val="0"/>
              <w:keepLines w:val="0"/>
              <w:pageBreakBefore w:val="0"/>
              <w:widowControl w:val="0"/>
              <w:tabs>
                <w:tab w:val="left" w:pos="1018"/>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4"/>
                <w:szCs w:val="32"/>
                <w:highlight w:val="none"/>
                <w:vertAlign w:val="baseline"/>
                <w:lang w:val="en-US" w:eastAsia="zh-CN" w:bidi="ar-SA"/>
              </w:rPr>
            </w:pPr>
            <w:r>
              <w:rPr>
                <w:rFonts w:hint="default" w:ascii="Times New Roman" w:hAnsi="Times New Roman" w:cs="Times New Roman"/>
                <w:color w:val="auto"/>
                <w:kern w:val="2"/>
                <w:sz w:val="24"/>
                <w:szCs w:val="32"/>
                <w:highlight w:val="none"/>
                <w:vertAlign w:val="baseline"/>
                <w:lang w:val="en-US" w:eastAsia="zh-CN" w:bidi="ar-SA"/>
              </w:rPr>
              <w:t>技术力量</w:t>
            </w:r>
          </w:p>
        </w:tc>
        <w:tc>
          <w:tcPr>
            <w:tcW w:w="818" w:type="dxa"/>
            <w:vMerge w:val="restart"/>
            <w:shd w:val="clear" w:color="auto" w:fill="auto"/>
            <w:noWrap w:val="0"/>
            <w:vAlign w:val="center"/>
          </w:tcPr>
          <w:p w14:paraId="28D62DAE">
            <w:pPr>
              <w:keepNext w:val="0"/>
              <w:keepLines w:val="0"/>
              <w:pageBreakBefore w:val="0"/>
              <w:widowControl w:val="0"/>
              <w:tabs>
                <w:tab w:val="left" w:pos="1018"/>
              </w:tabs>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kern w:val="2"/>
                <w:sz w:val="24"/>
                <w:szCs w:val="32"/>
                <w:highlight w:val="none"/>
                <w:vertAlign w:val="baseline"/>
                <w:lang w:val="en-US" w:eastAsia="zh-CN" w:bidi="ar-SA"/>
              </w:rPr>
            </w:pPr>
            <w:r>
              <w:rPr>
                <w:rFonts w:hint="default" w:ascii="Times New Roman" w:hAnsi="Times New Roman" w:cs="Times New Roman"/>
                <w:color w:val="auto"/>
                <w:kern w:val="2"/>
                <w:sz w:val="24"/>
                <w:szCs w:val="32"/>
                <w:highlight w:val="none"/>
                <w:vertAlign w:val="baseline"/>
                <w:lang w:val="en-US" w:eastAsia="zh-CN" w:bidi="ar-SA"/>
              </w:rPr>
              <w:t>10</w:t>
            </w:r>
          </w:p>
        </w:tc>
        <w:tc>
          <w:tcPr>
            <w:tcW w:w="6631" w:type="dxa"/>
            <w:gridSpan w:val="2"/>
            <w:shd w:val="clear" w:color="auto" w:fill="auto"/>
            <w:noWrap w:val="0"/>
            <w:vAlign w:val="top"/>
          </w:tcPr>
          <w:p w14:paraId="10B979C6">
            <w:pPr>
              <w:keepNext w:val="0"/>
              <w:keepLines w:val="0"/>
              <w:pageBreakBefore w:val="0"/>
              <w:widowControl w:val="0"/>
              <w:numPr>
                <w:ilvl w:val="0"/>
                <w:numId w:val="0"/>
              </w:numPr>
              <w:tabs>
                <w:tab w:val="left" w:pos="1018"/>
              </w:tabs>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kern w:val="2"/>
                <w:sz w:val="24"/>
                <w:szCs w:val="32"/>
                <w:highlight w:val="none"/>
                <w:vertAlign w:val="baseline"/>
                <w:lang w:val="en-US" w:eastAsia="zh-CN" w:bidi="ar-SA"/>
              </w:rPr>
            </w:pPr>
            <w:bookmarkStart w:id="20" w:name="OLE_LINK34"/>
            <w:r>
              <w:rPr>
                <w:rFonts w:hint="default" w:ascii="Times New Roman" w:hAnsi="Times New Roman" w:eastAsia="宋体" w:cs="Times New Roman"/>
                <w:color w:val="auto"/>
                <w:kern w:val="2"/>
                <w:sz w:val="24"/>
                <w:szCs w:val="32"/>
                <w:highlight w:val="none"/>
                <w:vertAlign w:val="baseline"/>
                <w:lang w:val="en-US" w:eastAsia="zh-CN" w:bidi="ar-SA"/>
              </w:rPr>
              <w:t>工程</w:t>
            </w:r>
            <w:r>
              <w:rPr>
                <w:rFonts w:hint="eastAsia" w:ascii="Times New Roman" w:hAnsi="Times New Roman" w:eastAsia="宋体" w:cs="Times New Roman"/>
                <w:color w:val="auto"/>
                <w:kern w:val="2"/>
                <w:sz w:val="24"/>
                <w:szCs w:val="32"/>
                <w:highlight w:val="none"/>
                <w:vertAlign w:val="baseline"/>
                <w:lang w:val="en-US" w:eastAsia="zh-CN" w:bidi="ar-SA"/>
              </w:rPr>
              <w:t>类</w:t>
            </w:r>
            <w:r>
              <w:rPr>
                <w:rFonts w:hint="default" w:ascii="Times New Roman" w:hAnsi="Times New Roman" w:eastAsia="宋体" w:cs="Times New Roman"/>
                <w:color w:val="auto"/>
                <w:kern w:val="2"/>
                <w:sz w:val="24"/>
                <w:szCs w:val="32"/>
                <w:highlight w:val="none"/>
                <w:vertAlign w:val="baseline"/>
                <w:lang w:val="en-US" w:eastAsia="zh-CN" w:bidi="ar-SA"/>
              </w:rPr>
              <w:t>项目招标代理方面，</w:t>
            </w:r>
            <w:bookmarkEnd w:id="20"/>
            <w:r>
              <w:rPr>
                <w:rFonts w:hint="default" w:ascii="Times New Roman" w:hAnsi="Times New Roman" w:eastAsia="宋体" w:cs="Times New Roman"/>
                <w:color w:val="auto"/>
                <w:kern w:val="2"/>
                <w:sz w:val="24"/>
                <w:szCs w:val="32"/>
                <w:highlight w:val="none"/>
                <w:vertAlign w:val="baseline"/>
                <w:lang w:val="en-US" w:eastAsia="zh-CN" w:bidi="ar-SA"/>
              </w:rPr>
              <w:t>代理机构专职人员中具</w:t>
            </w:r>
            <w:bookmarkStart w:id="21" w:name="OLE_LINK33"/>
            <w:r>
              <w:rPr>
                <w:rFonts w:hint="default" w:ascii="Times New Roman" w:hAnsi="Times New Roman" w:eastAsia="宋体" w:cs="Times New Roman"/>
                <w:color w:val="auto"/>
                <w:kern w:val="2"/>
                <w:sz w:val="24"/>
                <w:szCs w:val="32"/>
                <w:highlight w:val="none"/>
                <w:vertAlign w:val="baseline"/>
                <w:lang w:val="en-US" w:eastAsia="zh-CN" w:bidi="ar-SA"/>
              </w:rPr>
              <w:t>备相关行业高级职称或</w:t>
            </w:r>
            <w:bookmarkEnd w:id="21"/>
            <w:bookmarkStart w:id="22" w:name="OLE_LINK30"/>
            <w:r>
              <w:rPr>
                <w:rFonts w:hint="default" w:ascii="Times New Roman" w:hAnsi="Times New Roman" w:eastAsia="宋体" w:cs="Times New Roman"/>
                <w:color w:val="auto"/>
                <w:kern w:val="2"/>
                <w:sz w:val="24"/>
                <w:szCs w:val="32"/>
                <w:highlight w:val="none"/>
                <w:vertAlign w:val="baseline"/>
                <w:lang w:val="en-US" w:eastAsia="zh-CN" w:bidi="ar-SA"/>
              </w:rPr>
              <w:t>国家级注册执业资格</w:t>
            </w:r>
            <w:bookmarkEnd w:id="22"/>
            <w:r>
              <w:rPr>
                <w:rFonts w:hint="default" w:ascii="Times New Roman" w:hAnsi="Times New Roman" w:eastAsia="宋体" w:cs="Times New Roman"/>
                <w:color w:val="auto"/>
                <w:kern w:val="2"/>
                <w:sz w:val="24"/>
                <w:szCs w:val="32"/>
                <w:highlight w:val="none"/>
                <w:vertAlign w:val="baseline"/>
                <w:lang w:val="en-US" w:eastAsia="zh-CN" w:bidi="ar-SA"/>
              </w:rPr>
              <w:t>（一级）的，有一人得2分；具备相关行业中级职称或省级注册执业资格（二级）的，有一人得1分；同类别按高级别计取。该项最高</w:t>
            </w:r>
            <w:r>
              <w:rPr>
                <w:rFonts w:hint="default" w:ascii="Times New Roman" w:hAnsi="Times New Roman" w:cs="Times New Roman"/>
                <w:color w:val="auto"/>
                <w:kern w:val="2"/>
                <w:sz w:val="24"/>
                <w:szCs w:val="32"/>
                <w:highlight w:val="none"/>
                <w:vertAlign w:val="baseline"/>
                <w:lang w:val="en-US" w:eastAsia="zh-CN" w:bidi="ar-SA"/>
              </w:rPr>
              <w:t>10分</w:t>
            </w:r>
            <w:r>
              <w:rPr>
                <w:rFonts w:hint="default" w:ascii="Times New Roman" w:hAnsi="Times New Roman" w:eastAsia="宋体" w:cs="Times New Roman"/>
                <w:color w:val="auto"/>
                <w:kern w:val="2"/>
                <w:sz w:val="24"/>
                <w:szCs w:val="32"/>
                <w:highlight w:val="none"/>
                <w:vertAlign w:val="baseline"/>
                <w:lang w:val="en-US" w:eastAsia="zh-CN" w:bidi="ar-SA"/>
              </w:rPr>
              <w:t>。</w:t>
            </w:r>
          </w:p>
        </w:tc>
      </w:tr>
      <w:tr w14:paraId="39B6D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95" w:hRule="atLeast"/>
          <w:jc w:val="center"/>
        </w:trPr>
        <w:tc>
          <w:tcPr>
            <w:tcW w:w="888" w:type="dxa"/>
            <w:vMerge w:val="continue"/>
            <w:shd w:val="clear" w:color="auto" w:fill="auto"/>
            <w:noWrap w:val="0"/>
            <w:vAlign w:val="center"/>
          </w:tcPr>
          <w:p w14:paraId="36FF17D7">
            <w:pPr>
              <w:keepNext w:val="0"/>
              <w:keepLines w:val="0"/>
              <w:pageBreakBefore w:val="0"/>
              <w:widowControl w:val="0"/>
              <w:tabs>
                <w:tab w:val="left" w:pos="1018"/>
              </w:tabs>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color w:val="auto"/>
                <w:highlight w:val="none"/>
              </w:rPr>
            </w:pPr>
          </w:p>
        </w:tc>
        <w:tc>
          <w:tcPr>
            <w:tcW w:w="853" w:type="dxa"/>
            <w:vMerge w:val="continue"/>
            <w:shd w:val="clear" w:color="auto" w:fill="auto"/>
            <w:noWrap w:val="0"/>
            <w:vAlign w:val="center"/>
          </w:tcPr>
          <w:p w14:paraId="7ACCA9A6">
            <w:pPr>
              <w:keepNext w:val="0"/>
              <w:keepLines w:val="0"/>
              <w:pageBreakBefore w:val="0"/>
              <w:widowControl w:val="0"/>
              <w:tabs>
                <w:tab w:val="left" w:pos="1018"/>
              </w:tabs>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color w:val="auto"/>
                <w:highlight w:val="none"/>
              </w:rPr>
            </w:pPr>
          </w:p>
        </w:tc>
        <w:tc>
          <w:tcPr>
            <w:tcW w:w="818" w:type="dxa"/>
            <w:vMerge w:val="continue"/>
            <w:shd w:val="clear" w:color="auto" w:fill="auto"/>
            <w:noWrap w:val="0"/>
            <w:vAlign w:val="center"/>
          </w:tcPr>
          <w:p w14:paraId="08DFB0BB">
            <w:pPr>
              <w:keepNext w:val="0"/>
              <w:keepLines w:val="0"/>
              <w:pageBreakBefore w:val="0"/>
              <w:widowControl w:val="0"/>
              <w:tabs>
                <w:tab w:val="left" w:pos="1018"/>
              </w:tabs>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color w:val="auto"/>
                <w:highlight w:val="none"/>
              </w:rPr>
            </w:pPr>
          </w:p>
        </w:tc>
        <w:tc>
          <w:tcPr>
            <w:tcW w:w="6631" w:type="dxa"/>
            <w:gridSpan w:val="2"/>
            <w:shd w:val="clear" w:color="auto" w:fill="auto"/>
            <w:noWrap w:val="0"/>
            <w:vAlign w:val="top"/>
          </w:tcPr>
          <w:p w14:paraId="46A86D54">
            <w:pPr>
              <w:keepNext w:val="0"/>
              <w:keepLines w:val="0"/>
              <w:pageBreakBefore w:val="0"/>
              <w:widowControl w:val="0"/>
              <w:numPr>
                <w:ilvl w:val="0"/>
                <w:numId w:val="0"/>
              </w:numPr>
              <w:tabs>
                <w:tab w:val="left" w:pos="1018"/>
              </w:tabs>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kern w:val="2"/>
                <w:sz w:val="24"/>
                <w:szCs w:val="32"/>
                <w:highlight w:val="none"/>
                <w:vertAlign w:val="baseline"/>
                <w:lang w:val="en-US" w:eastAsia="zh-CN" w:bidi="ar-SA"/>
              </w:rPr>
            </w:pPr>
            <w:r>
              <w:rPr>
                <w:rFonts w:hint="eastAsia" w:asciiTheme="minorEastAsia" w:hAnsiTheme="minorEastAsia" w:eastAsiaTheme="minorEastAsia" w:cstheme="minorEastAsia"/>
                <w:color w:val="auto"/>
                <w:kern w:val="2"/>
                <w:sz w:val="24"/>
                <w:szCs w:val="32"/>
                <w:highlight w:val="none"/>
                <w:vertAlign w:val="baseline"/>
                <w:lang w:val="en-US" w:eastAsia="zh-CN" w:bidi="ar-SA"/>
              </w:rPr>
              <w:t>采购</w:t>
            </w:r>
            <w:r>
              <w:rPr>
                <w:rFonts w:hint="eastAsia" w:asciiTheme="minorEastAsia" w:hAnsiTheme="minorEastAsia" w:cstheme="minorEastAsia"/>
                <w:color w:val="auto"/>
                <w:kern w:val="2"/>
                <w:sz w:val="24"/>
                <w:szCs w:val="32"/>
                <w:highlight w:val="none"/>
                <w:vertAlign w:val="baseline"/>
                <w:lang w:val="en-US" w:eastAsia="zh-CN" w:bidi="ar-SA"/>
              </w:rPr>
              <w:t>类</w:t>
            </w:r>
            <w:r>
              <w:rPr>
                <w:rFonts w:hint="eastAsia" w:asciiTheme="minorEastAsia" w:hAnsiTheme="minorEastAsia" w:eastAsiaTheme="minorEastAsia" w:cstheme="minorEastAsia"/>
                <w:color w:val="auto"/>
                <w:kern w:val="2"/>
                <w:sz w:val="24"/>
                <w:szCs w:val="32"/>
                <w:highlight w:val="none"/>
                <w:vertAlign w:val="baseline"/>
                <w:lang w:val="en-US" w:eastAsia="zh-CN" w:bidi="ar-SA"/>
              </w:rPr>
              <w:t>项目采购代理方面，具有熟悉政府采购法律法规、具备编制采购文件和组织采购活动等相应能力的专职从业人员，</w:t>
            </w:r>
            <w:r>
              <w:rPr>
                <w:rFonts w:hint="eastAsia" w:asciiTheme="minorEastAsia" w:hAnsiTheme="minorEastAsia" w:eastAsiaTheme="minorEastAsia" w:cstheme="minorEastAsia"/>
                <w:color w:val="auto"/>
                <w:kern w:val="2"/>
                <w:sz w:val="24"/>
                <w:szCs w:val="32"/>
                <w:highlight w:val="none"/>
                <w:vertAlign w:val="baseline"/>
                <w:lang w:val="en-US" w:eastAsia="zh-CN" w:bidi="ar-SA"/>
              </w:rPr>
              <w:t>有1人，得1分</w:t>
            </w:r>
            <w:r>
              <w:rPr>
                <w:rFonts w:hint="eastAsia" w:asciiTheme="minorEastAsia" w:hAnsiTheme="minorEastAsia" w:eastAsiaTheme="minorEastAsia" w:cstheme="minorEastAsia"/>
                <w:color w:val="auto"/>
                <w:kern w:val="2"/>
                <w:sz w:val="21"/>
                <w:szCs w:val="21"/>
                <w:highlight w:val="none"/>
                <w:vertAlign w:val="baseline"/>
                <w:lang w:val="en-US" w:eastAsia="zh-CN" w:bidi="ar-SA"/>
              </w:rPr>
              <w:t>（须提供人员劳动合同及社保缴纳证明资料）</w:t>
            </w:r>
            <w:r>
              <w:rPr>
                <w:rFonts w:hint="eastAsia" w:asciiTheme="minorEastAsia" w:hAnsiTheme="minorEastAsia" w:eastAsiaTheme="minorEastAsia" w:cstheme="minorEastAsia"/>
                <w:color w:val="auto"/>
                <w:kern w:val="2"/>
                <w:sz w:val="24"/>
                <w:szCs w:val="32"/>
                <w:highlight w:val="none"/>
                <w:vertAlign w:val="baseline"/>
                <w:lang w:val="en-US" w:eastAsia="zh-CN" w:bidi="ar-SA"/>
              </w:rPr>
              <w:t>；评价周期三年内，专职从业人员取得《江苏省政府采购培训证书》的，有一人得2分</w:t>
            </w:r>
            <w:r>
              <w:rPr>
                <w:rFonts w:hint="eastAsia" w:asciiTheme="minorEastAsia" w:hAnsiTheme="minorEastAsia" w:eastAsiaTheme="minorEastAsia" w:cstheme="minorEastAsia"/>
                <w:color w:val="auto"/>
                <w:kern w:val="2"/>
                <w:sz w:val="21"/>
                <w:szCs w:val="21"/>
                <w:highlight w:val="none"/>
                <w:vertAlign w:val="baseline"/>
                <w:lang w:val="en-US" w:eastAsia="zh-CN" w:bidi="ar-SA"/>
              </w:rPr>
              <w:t>（须提供证书及社保缴纳证明材料）</w:t>
            </w:r>
            <w:r>
              <w:rPr>
                <w:rFonts w:hint="eastAsia" w:asciiTheme="minorEastAsia" w:hAnsiTheme="minorEastAsia" w:eastAsiaTheme="minorEastAsia" w:cstheme="minorEastAsia"/>
                <w:color w:val="auto"/>
                <w:kern w:val="2"/>
                <w:sz w:val="24"/>
                <w:szCs w:val="32"/>
                <w:highlight w:val="none"/>
                <w:vertAlign w:val="baseline"/>
                <w:lang w:val="en-US" w:eastAsia="zh-CN" w:bidi="ar-SA"/>
              </w:rPr>
              <w:t>。该项最高10分。</w:t>
            </w:r>
          </w:p>
        </w:tc>
      </w:tr>
      <w:tr w14:paraId="3B3C4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05" w:hRule="atLeast"/>
          <w:jc w:val="center"/>
        </w:trPr>
        <w:tc>
          <w:tcPr>
            <w:tcW w:w="888" w:type="dxa"/>
            <w:vMerge w:val="continue"/>
            <w:shd w:val="clear" w:color="auto" w:fill="auto"/>
            <w:noWrap w:val="0"/>
            <w:vAlign w:val="center"/>
          </w:tcPr>
          <w:p w14:paraId="7AA290C2">
            <w:pPr>
              <w:keepNext w:val="0"/>
              <w:keepLines w:val="0"/>
              <w:pageBreakBefore w:val="0"/>
              <w:widowControl w:val="0"/>
              <w:tabs>
                <w:tab w:val="left" w:pos="1018"/>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4"/>
                <w:szCs w:val="32"/>
                <w:highlight w:val="none"/>
                <w:vertAlign w:val="baseline"/>
                <w:lang w:val="en-US" w:eastAsia="zh-CN" w:bidi="ar-SA"/>
              </w:rPr>
            </w:pPr>
          </w:p>
        </w:tc>
        <w:tc>
          <w:tcPr>
            <w:tcW w:w="853" w:type="dxa"/>
            <w:vMerge w:val="restart"/>
            <w:shd w:val="clear" w:color="auto" w:fill="auto"/>
            <w:noWrap w:val="0"/>
            <w:vAlign w:val="center"/>
          </w:tcPr>
          <w:p w14:paraId="0C32882C">
            <w:pPr>
              <w:keepNext w:val="0"/>
              <w:keepLines w:val="0"/>
              <w:pageBreakBefore w:val="0"/>
              <w:widowControl w:val="0"/>
              <w:tabs>
                <w:tab w:val="left" w:pos="1018"/>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4"/>
                <w:szCs w:val="32"/>
                <w:highlight w:val="none"/>
                <w:vertAlign w:val="baseline"/>
                <w:lang w:val="en-US" w:eastAsia="zh-CN" w:bidi="ar-SA"/>
              </w:rPr>
            </w:pPr>
            <w:r>
              <w:rPr>
                <w:rFonts w:hint="default" w:ascii="Times New Roman" w:hAnsi="Times New Roman" w:eastAsia="宋体" w:cs="Times New Roman"/>
                <w:color w:val="auto"/>
                <w:kern w:val="2"/>
                <w:sz w:val="24"/>
                <w:szCs w:val="32"/>
                <w:highlight w:val="none"/>
                <w:vertAlign w:val="baseline"/>
                <w:lang w:val="en-US" w:eastAsia="zh-CN" w:bidi="ar-SA"/>
              </w:rPr>
              <w:t>代理业绩</w:t>
            </w:r>
          </w:p>
        </w:tc>
        <w:tc>
          <w:tcPr>
            <w:tcW w:w="818" w:type="dxa"/>
            <w:shd w:val="clear" w:color="auto" w:fill="auto"/>
            <w:noWrap w:val="0"/>
            <w:vAlign w:val="center"/>
          </w:tcPr>
          <w:p w14:paraId="51A28857">
            <w:pPr>
              <w:keepNext w:val="0"/>
              <w:keepLines w:val="0"/>
              <w:pageBreakBefore w:val="0"/>
              <w:widowControl w:val="0"/>
              <w:tabs>
                <w:tab w:val="left" w:pos="1018"/>
              </w:tabs>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kern w:val="2"/>
                <w:sz w:val="24"/>
                <w:szCs w:val="32"/>
                <w:highlight w:val="none"/>
                <w:vertAlign w:val="baseline"/>
                <w:lang w:val="en-US" w:eastAsia="zh-CN" w:bidi="ar-SA"/>
              </w:rPr>
            </w:pPr>
            <w:r>
              <w:rPr>
                <w:rFonts w:hint="eastAsia" w:ascii="Times New Roman" w:hAnsi="Times New Roman" w:eastAsia="宋体" w:cs="Times New Roman"/>
                <w:color w:val="auto"/>
                <w:kern w:val="2"/>
                <w:sz w:val="24"/>
                <w:szCs w:val="32"/>
                <w:highlight w:val="none"/>
                <w:vertAlign w:val="baseline"/>
                <w:lang w:val="en-US" w:eastAsia="zh-CN" w:bidi="ar-SA"/>
              </w:rPr>
              <w:t>25</w:t>
            </w:r>
          </w:p>
        </w:tc>
        <w:tc>
          <w:tcPr>
            <w:tcW w:w="6631" w:type="dxa"/>
            <w:gridSpan w:val="2"/>
            <w:shd w:val="clear" w:color="auto" w:fill="auto"/>
            <w:noWrap w:val="0"/>
            <w:vAlign w:val="center"/>
          </w:tcPr>
          <w:p w14:paraId="292C7F3F">
            <w:pPr>
              <w:keepNext w:val="0"/>
              <w:keepLines w:val="0"/>
              <w:pageBreakBefore w:val="0"/>
              <w:widowControl w:val="0"/>
              <w:tabs>
                <w:tab w:val="left" w:pos="1018"/>
              </w:tabs>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kern w:val="2"/>
                <w:sz w:val="24"/>
                <w:szCs w:val="32"/>
                <w:highlight w:val="none"/>
                <w:vertAlign w:val="baseline"/>
                <w:lang w:val="en-US" w:eastAsia="zh-CN" w:bidi="ar-SA"/>
              </w:rPr>
            </w:pPr>
            <w:r>
              <w:rPr>
                <w:rFonts w:hint="eastAsia" w:ascii="Times New Roman" w:hAnsi="Times New Roman" w:cs="Times New Roman"/>
                <w:color w:val="auto"/>
                <w:kern w:val="2"/>
                <w:sz w:val="24"/>
                <w:szCs w:val="32"/>
                <w:highlight w:val="none"/>
                <w:vertAlign w:val="baseline"/>
                <w:lang w:val="en-US" w:eastAsia="zh-CN" w:bidi="ar-SA"/>
              </w:rPr>
              <w:t>评价周期内，项目完成数量排名前30%（含）的得25分，前30%-70%（含）的得15分，排名后30%的得5分（不含限额以下项目）。</w:t>
            </w:r>
          </w:p>
        </w:tc>
      </w:tr>
      <w:tr w14:paraId="3F4E3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5" w:hRule="atLeast"/>
          <w:jc w:val="center"/>
        </w:trPr>
        <w:tc>
          <w:tcPr>
            <w:tcW w:w="888" w:type="dxa"/>
            <w:vMerge w:val="continue"/>
            <w:shd w:val="clear" w:color="auto" w:fill="auto"/>
            <w:noWrap w:val="0"/>
            <w:vAlign w:val="center"/>
          </w:tcPr>
          <w:p w14:paraId="30A5F522">
            <w:pPr>
              <w:keepNext w:val="0"/>
              <w:keepLines w:val="0"/>
              <w:pageBreakBefore w:val="0"/>
              <w:widowControl w:val="0"/>
              <w:tabs>
                <w:tab w:val="left" w:pos="1018"/>
              </w:tabs>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color w:val="auto"/>
                <w:highlight w:val="none"/>
              </w:rPr>
            </w:pPr>
          </w:p>
        </w:tc>
        <w:tc>
          <w:tcPr>
            <w:tcW w:w="853" w:type="dxa"/>
            <w:vMerge w:val="continue"/>
            <w:shd w:val="clear" w:color="auto" w:fill="auto"/>
            <w:noWrap w:val="0"/>
            <w:vAlign w:val="center"/>
          </w:tcPr>
          <w:p w14:paraId="77388A62">
            <w:pPr>
              <w:keepNext w:val="0"/>
              <w:keepLines w:val="0"/>
              <w:pageBreakBefore w:val="0"/>
              <w:widowControl w:val="0"/>
              <w:tabs>
                <w:tab w:val="left" w:pos="1018"/>
              </w:tabs>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color w:val="auto"/>
                <w:highlight w:val="none"/>
              </w:rPr>
            </w:pPr>
          </w:p>
        </w:tc>
        <w:tc>
          <w:tcPr>
            <w:tcW w:w="818" w:type="dxa"/>
            <w:shd w:val="clear" w:color="auto" w:fill="auto"/>
            <w:noWrap w:val="0"/>
            <w:vAlign w:val="center"/>
          </w:tcPr>
          <w:p w14:paraId="13DDEC43">
            <w:pPr>
              <w:keepNext w:val="0"/>
              <w:keepLines w:val="0"/>
              <w:pageBreakBefore w:val="0"/>
              <w:widowControl w:val="0"/>
              <w:tabs>
                <w:tab w:val="left" w:pos="1018"/>
              </w:tabs>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color w:val="auto"/>
                <w:highlight w:val="none"/>
                <w:lang w:val="en-US" w:eastAsia="zh-CN"/>
              </w:rPr>
            </w:pPr>
            <w:r>
              <w:rPr>
                <w:rFonts w:hint="eastAsia" w:ascii="Times New Roman" w:hAnsi="Times New Roman" w:cs="Times New Roman"/>
                <w:color w:val="auto"/>
                <w:sz w:val="24"/>
                <w:szCs w:val="24"/>
                <w:highlight w:val="none"/>
                <w:lang w:val="en-US" w:eastAsia="zh-CN"/>
              </w:rPr>
              <w:t>5</w:t>
            </w:r>
          </w:p>
        </w:tc>
        <w:tc>
          <w:tcPr>
            <w:tcW w:w="6631" w:type="dxa"/>
            <w:gridSpan w:val="2"/>
            <w:shd w:val="clear" w:color="auto" w:fill="auto"/>
            <w:noWrap w:val="0"/>
            <w:vAlign w:val="top"/>
          </w:tcPr>
          <w:p w14:paraId="49598FCC">
            <w:pPr>
              <w:keepNext w:val="0"/>
              <w:keepLines w:val="0"/>
              <w:pageBreakBefore w:val="0"/>
              <w:widowControl w:val="0"/>
              <w:tabs>
                <w:tab w:val="left" w:pos="1018"/>
              </w:tabs>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kern w:val="2"/>
                <w:sz w:val="24"/>
                <w:szCs w:val="32"/>
                <w:highlight w:val="none"/>
                <w:vertAlign w:val="baseline"/>
                <w:lang w:val="en-US" w:eastAsia="zh-CN" w:bidi="ar-SA"/>
              </w:rPr>
            </w:pPr>
            <w:r>
              <w:rPr>
                <w:rFonts w:hint="default" w:ascii="Times New Roman" w:hAnsi="Times New Roman" w:cs="Times New Roman"/>
                <w:color w:val="auto"/>
                <w:kern w:val="2"/>
                <w:sz w:val="24"/>
                <w:szCs w:val="32"/>
                <w:highlight w:val="none"/>
                <w:vertAlign w:val="baseline"/>
                <w:lang w:val="en-US" w:eastAsia="zh-CN" w:bidi="ar-SA"/>
              </w:rPr>
              <w:t>按要求参加中心组织的业务培训的，得5分；未按规定参加培训1次扣2分，该项扣完为止。</w:t>
            </w:r>
          </w:p>
        </w:tc>
      </w:tr>
      <w:tr w14:paraId="17A4A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58" w:hRule="atLeast"/>
          <w:jc w:val="center"/>
        </w:trPr>
        <w:tc>
          <w:tcPr>
            <w:tcW w:w="1741" w:type="dxa"/>
            <w:gridSpan w:val="2"/>
            <w:vMerge w:val="restart"/>
            <w:shd w:val="clear" w:color="auto" w:fill="auto"/>
            <w:noWrap w:val="0"/>
            <w:vAlign w:val="center"/>
          </w:tcPr>
          <w:p w14:paraId="3DE12ECE">
            <w:pPr>
              <w:keepNext w:val="0"/>
              <w:keepLines w:val="0"/>
              <w:pageBreakBefore w:val="0"/>
              <w:widowControl w:val="0"/>
              <w:tabs>
                <w:tab w:val="left" w:pos="1018"/>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4"/>
                <w:szCs w:val="32"/>
                <w:highlight w:val="none"/>
                <w:vertAlign w:val="baseline"/>
                <w:lang w:val="en-US" w:eastAsia="zh-CN" w:bidi="ar-SA"/>
              </w:rPr>
            </w:pPr>
            <w:r>
              <w:rPr>
                <w:rFonts w:hint="default" w:ascii="Times New Roman" w:hAnsi="Times New Roman" w:eastAsia="宋体" w:cs="Times New Roman"/>
                <w:color w:val="auto"/>
                <w:kern w:val="2"/>
                <w:sz w:val="24"/>
                <w:szCs w:val="32"/>
                <w:highlight w:val="none"/>
                <w:vertAlign w:val="baseline"/>
                <w:lang w:val="en-US" w:eastAsia="zh-CN" w:bidi="ar-SA"/>
              </w:rPr>
              <w:t>场内</w:t>
            </w:r>
            <w:r>
              <w:rPr>
                <w:rFonts w:hint="eastAsia" w:ascii="Times New Roman" w:hAnsi="Times New Roman" w:eastAsia="宋体" w:cs="Times New Roman"/>
                <w:color w:val="auto"/>
                <w:kern w:val="2"/>
                <w:sz w:val="24"/>
                <w:szCs w:val="32"/>
                <w:highlight w:val="none"/>
                <w:vertAlign w:val="baseline"/>
                <w:lang w:val="en-US" w:eastAsia="zh-CN" w:bidi="ar-SA"/>
              </w:rPr>
              <w:t>行为</w:t>
            </w:r>
            <w:r>
              <w:rPr>
                <w:rFonts w:hint="default" w:ascii="Times New Roman" w:hAnsi="Times New Roman" w:eastAsia="宋体" w:cs="Times New Roman"/>
                <w:color w:val="auto"/>
                <w:kern w:val="2"/>
                <w:sz w:val="24"/>
                <w:szCs w:val="32"/>
                <w:highlight w:val="none"/>
                <w:vertAlign w:val="baseline"/>
                <w:lang w:val="en-US" w:eastAsia="zh-CN" w:bidi="ar-SA"/>
              </w:rPr>
              <w:t>评价</w:t>
            </w:r>
          </w:p>
        </w:tc>
        <w:tc>
          <w:tcPr>
            <w:tcW w:w="818" w:type="dxa"/>
            <w:vMerge w:val="restart"/>
            <w:shd w:val="clear" w:color="auto" w:fill="auto"/>
            <w:noWrap w:val="0"/>
            <w:vAlign w:val="center"/>
          </w:tcPr>
          <w:p w14:paraId="0D883792">
            <w:pPr>
              <w:keepNext w:val="0"/>
              <w:keepLines w:val="0"/>
              <w:pageBreakBefore w:val="0"/>
              <w:widowControl w:val="0"/>
              <w:tabs>
                <w:tab w:val="left" w:pos="1018"/>
              </w:tabs>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kern w:val="2"/>
                <w:sz w:val="24"/>
                <w:szCs w:val="32"/>
                <w:highlight w:val="none"/>
                <w:vertAlign w:val="baseline"/>
                <w:lang w:val="en-US" w:eastAsia="zh-CN" w:bidi="ar-SA"/>
              </w:rPr>
            </w:pPr>
            <w:r>
              <w:rPr>
                <w:rFonts w:hint="eastAsia" w:ascii="Times New Roman" w:hAnsi="Times New Roman" w:cs="Times New Roman"/>
                <w:color w:val="auto"/>
                <w:kern w:val="2"/>
                <w:sz w:val="24"/>
                <w:szCs w:val="32"/>
                <w:highlight w:val="none"/>
                <w:vertAlign w:val="baseline"/>
                <w:lang w:val="en-US" w:eastAsia="zh-CN" w:bidi="ar-SA"/>
              </w:rPr>
              <w:t>25</w:t>
            </w:r>
          </w:p>
        </w:tc>
        <w:tc>
          <w:tcPr>
            <w:tcW w:w="6631" w:type="dxa"/>
            <w:gridSpan w:val="2"/>
            <w:shd w:val="clear" w:color="auto" w:fill="auto"/>
            <w:noWrap w:val="0"/>
            <w:vAlign w:val="center"/>
          </w:tcPr>
          <w:p w14:paraId="2FD2AB5B">
            <w:pPr>
              <w:keepNext w:val="0"/>
              <w:keepLines w:val="0"/>
              <w:pageBreakBefore w:val="0"/>
              <w:widowControl w:val="0"/>
              <w:tabs>
                <w:tab w:val="left" w:pos="1018"/>
              </w:tabs>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color w:val="auto"/>
                <w:kern w:val="2"/>
                <w:sz w:val="24"/>
                <w:szCs w:val="32"/>
                <w:highlight w:val="none"/>
                <w:vertAlign w:val="baseline"/>
                <w:lang w:val="en-US" w:eastAsia="zh-CN" w:bidi="ar-SA"/>
              </w:rPr>
            </w:pPr>
            <w:r>
              <w:rPr>
                <w:rFonts w:hint="default" w:ascii="Times New Roman" w:hAnsi="Times New Roman" w:cs="Times New Roman"/>
                <w:color w:val="auto"/>
                <w:kern w:val="2"/>
                <w:sz w:val="24"/>
                <w:szCs w:val="32"/>
                <w:highlight w:val="none"/>
                <w:vertAlign w:val="baseline"/>
                <w:lang w:val="en-US" w:eastAsia="zh-CN" w:bidi="ar-SA"/>
              </w:rPr>
              <w:t>场内行为评价实行扣分制。按照《代理机构场内行为评价扣分标准》进行记分考评，该项扣完为止（具体扣分标准详见附件3）。</w:t>
            </w:r>
          </w:p>
        </w:tc>
      </w:tr>
      <w:tr w14:paraId="10C81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741" w:type="dxa"/>
            <w:gridSpan w:val="2"/>
            <w:vMerge w:val="restart"/>
            <w:shd w:val="clear" w:color="auto" w:fill="auto"/>
            <w:noWrap w:val="0"/>
            <w:vAlign w:val="center"/>
          </w:tcPr>
          <w:p w14:paraId="4C778A4D">
            <w:pPr>
              <w:keepNext w:val="0"/>
              <w:keepLines w:val="0"/>
              <w:pageBreakBefore w:val="0"/>
              <w:widowControl w:val="0"/>
              <w:tabs>
                <w:tab w:val="left" w:pos="1018"/>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kern w:val="2"/>
                <w:sz w:val="24"/>
                <w:szCs w:val="32"/>
                <w:highlight w:val="none"/>
                <w:vertAlign w:val="baseline"/>
                <w:lang w:val="en-US" w:eastAsia="zh-CN" w:bidi="ar-SA"/>
              </w:rPr>
            </w:pPr>
            <w:bookmarkStart w:id="23" w:name="OLE_LINK15"/>
            <w:r>
              <w:rPr>
                <w:rFonts w:hint="default" w:ascii="Times New Roman" w:hAnsi="Times New Roman" w:cs="Times New Roman"/>
                <w:color w:val="auto"/>
                <w:kern w:val="2"/>
                <w:sz w:val="24"/>
                <w:szCs w:val="32"/>
                <w:highlight w:val="none"/>
                <w:vertAlign w:val="baseline"/>
                <w:lang w:val="en-US" w:eastAsia="zh-CN" w:bidi="ar-SA"/>
              </w:rPr>
              <w:t>失信与处理处罚情况</w:t>
            </w:r>
            <w:bookmarkEnd w:id="23"/>
          </w:p>
        </w:tc>
        <w:tc>
          <w:tcPr>
            <w:tcW w:w="818" w:type="dxa"/>
            <w:vMerge w:val="restart"/>
            <w:shd w:val="clear" w:color="auto" w:fill="auto"/>
            <w:noWrap w:val="0"/>
            <w:vAlign w:val="center"/>
          </w:tcPr>
          <w:p w14:paraId="269A06E0">
            <w:pPr>
              <w:keepNext w:val="0"/>
              <w:keepLines w:val="0"/>
              <w:pageBreakBefore w:val="0"/>
              <w:widowControl w:val="0"/>
              <w:tabs>
                <w:tab w:val="left" w:pos="1018"/>
              </w:tabs>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kern w:val="2"/>
                <w:sz w:val="24"/>
                <w:szCs w:val="32"/>
                <w:highlight w:val="none"/>
                <w:vertAlign w:val="baseline"/>
                <w:lang w:val="en-US" w:eastAsia="zh-CN" w:bidi="ar-SA"/>
              </w:rPr>
            </w:pPr>
            <w:r>
              <w:rPr>
                <w:rFonts w:hint="eastAsia" w:ascii="Times New Roman" w:hAnsi="Times New Roman" w:cs="Times New Roman"/>
                <w:color w:val="auto"/>
                <w:kern w:val="2"/>
                <w:sz w:val="24"/>
                <w:szCs w:val="32"/>
                <w:highlight w:val="none"/>
                <w:vertAlign w:val="baseline"/>
                <w:lang w:val="en-US" w:eastAsia="zh-CN" w:bidi="ar-SA"/>
              </w:rPr>
              <w:t>10</w:t>
            </w:r>
          </w:p>
        </w:tc>
        <w:tc>
          <w:tcPr>
            <w:tcW w:w="855" w:type="dxa"/>
            <w:shd w:val="clear" w:color="auto" w:fill="auto"/>
            <w:noWrap w:val="0"/>
            <w:vAlign w:val="center"/>
          </w:tcPr>
          <w:p w14:paraId="3C0C33A7">
            <w:pPr>
              <w:keepNext w:val="0"/>
              <w:keepLines w:val="0"/>
              <w:pageBreakBefore w:val="0"/>
              <w:widowControl w:val="0"/>
              <w:tabs>
                <w:tab w:val="left" w:pos="1018"/>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2"/>
                <w:sz w:val="24"/>
                <w:szCs w:val="32"/>
                <w:highlight w:val="none"/>
                <w:vertAlign w:val="baseline"/>
                <w:lang w:val="en-US" w:eastAsia="zh-CN" w:bidi="ar-SA"/>
              </w:rPr>
            </w:pPr>
            <w:r>
              <w:rPr>
                <w:rFonts w:hint="default" w:ascii="Times New Roman" w:hAnsi="Times New Roman" w:cs="Times New Roman"/>
                <w:color w:val="auto"/>
                <w:kern w:val="2"/>
                <w:sz w:val="24"/>
                <w:szCs w:val="32"/>
                <w:highlight w:val="none"/>
                <w:vertAlign w:val="baseline"/>
                <w:lang w:val="en-US" w:eastAsia="zh-CN" w:bidi="ar-SA"/>
              </w:rPr>
              <w:t>不良事件</w:t>
            </w:r>
          </w:p>
        </w:tc>
        <w:tc>
          <w:tcPr>
            <w:tcW w:w="5776" w:type="dxa"/>
            <w:shd w:val="clear" w:color="auto" w:fill="auto"/>
            <w:noWrap w:val="0"/>
            <w:vAlign w:val="top"/>
          </w:tcPr>
          <w:p w14:paraId="3F8739C7">
            <w:pPr>
              <w:keepNext w:val="0"/>
              <w:keepLines w:val="0"/>
              <w:pageBreakBefore w:val="0"/>
              <w:widowControl w:val="0"/>
              <w:tabs>
                <w:tab w:val="left" w:pos="1018"/>
              </w:tabs>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kern w:val="2"/>
                <w:sz w:val="24"/>
                <w:szCs w:val="32"/>
                <w:highlight w:val="none"/>
                <w:vertAlign w:val="baseline"/>
                <w:lang w:val="en-US" w:eastAsia="zh-CN" w:bidi="ar-SA"/>
              </w:rPr>
            </w:pPr>
            <w:r>
              <w:rPr>
                <w:rFonts w:hint="default" w:ascii="Times New Roman" w:hAnsi="Times New Roman" w:eastAsia="宋体" w:cs="Times New Roman"/>
                <w:color w:val="auto"/>
                <w:kern w:val="2"/>
                <w:sz w:val="24"/>
                <w:szCs w:val="32"/>
                <w:highlight w:val="none"/>
                <w:vertAlign w:val="baseline"/>
                <w:lang w:val="en-US" w:eastAsia="zh-CN" w:bidi="ar-SA"/>
              </w:rPr>
              <w:t>（1）因代理机构责任引发群体性事件、负面舆情，造成不良社会影响的，每次扣2分，该项扣完为止；</w:t>
            </w:r>
          </w:p>
          <w:p w14:paraId="3EAAF8E4">
            <w:pPr>
              <w:keepNext w:val="0"/>
              <w:keepLines w:val="0"/>
              <w:pageBreakBefore w:val="0"/>
              <w:widowControl w:val="0"/>
              <w:tabs>
                <w:tab w:val="left" w:pos="1018"/>
              </w:tabs>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kern w:val="2"/>
                <w:sz w:val="24"/>
                <w:szCs w:val="32"/>
                <w:highlight w:val="none"/>
                <w:vertAlign w:val="baseline"/>
                <w:lang w:val="en-US" w:eastAsia="zh-CN" w:bidi="ar-SA"/>
              </w:rPr>
            </w:pPr>
            <w:r>
              <w:rPr>
                <w:rFonts w:hint="default" w:ascii="Times New Roman" w:hAnsi="Times New Roman" w:eastAsia="宋体" w:cs="Times New Roman"/>
                <w:color w:val="auto"/>
                <w:kern w:val="2"/>
                <w:sz w:val="24"/>
                <w:szCs w:val="32"/>
                <w:highlight w:val="none"/>
                <w:vertAlign w:val="baseline"/>
                <w:lang w:val="en-US" w:eastAsia="zh-CN" w:bidi="ar-SA"/>
              </w:rPr>
              <w:t>（2）因代理机构责任引发重大事件、负面舆情，造成恶劣影响的，该项不得分。</w:t>
            </w:r>
          </w:p>
        </w:tc>
      </w:tr>
      <w:tr w14:paraId="4965E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741" w:type="dxa"/>
            <w:gridSpan w:val="2"/>
            <w:vMerge w:val="continue"/>
            <w:shd w:val="clear" w:color="auto" w:fill="auto"/>
            <w:noWrap w:val="0"/>
            <w:vAlign w:val="center"/>
          </w:tcPr>
          <w:p w14:paraId="36043291">
            <w:pPr>
              <w:keepNext w:val="0"/>
              <w:keepLines w:val="0"/>
              <w:pageBreakBefore w:val="0"/>
              <w:widowControl w:val="0"/>
              <w:tabs>
                <w:tab w:val="left" w:pos="1018"/>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kern w:val="2"/>
                <w:sz w:val="24"/>
                <w:szCs w:val="32"/>
                <w:highlight w:val="none"/>
                <w:vertAlign w:val="baseline"/>
                <w:lang w:val="en-US" w:eastAsia="zh-CN" w:bidi="ar-SA"/>
              </w:rPr>
            </w:pPr>
          </w:p>
        </w:tc>
        <w:tc>
          <w:tcPr>
            <w:tcW w:w="818" w:type="dxa"/>
            <w:vMerge w:val="continue"/>
            <w:shd w:val="clear" w:color="auto" w:fill="auto"/>
            <w:noWrap w:val="0"/>
            <w:vAlign w:val="center"/>
          </w:tcPr>
          <w:p w14:paraId="38DE417F">
            <w:pPr>
              <w:keepNext w:val="0"/>
              <w:keepLines w:val="0"/>
              <w:pageBreakBefore w:val="0"/>
              <w:widowControl w:val="0"/>
              <w:tabs>
                <w:tab w:val="left" w:pos="1018"/>
              </w:tabs>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kern w:val="2"/>
                <w:sz w:val="24"/>
                <w:szCs w:val="32"/>
                <w:highlight w:val="none"/>
                <w:vertAlign w:val="baseline"/>
                <w:lang w:val="en-US" w:eastAsia="zh-CN" w:bidi="ar-SA"/>
              </w:rPr>
            </w:pPr>
          </w:p>
        </w:tc>
        <w:tc>
          <w:tcPr>
            <w:tcW w:w="855" w:type="dxa"/>
            <w:shd w:val="clear" w:color="auto" w:fill="auto"/>
            <w:noWrap w:val="0"/>
            <w:vAlign w:val="center"/>
          </w:tcPr>
          <w:p w14:paraId="414D8784">
            <w:pPr>
              <w:keepNext w:val="0"/>
              <w:keepLines w:val="0"/>
              <w:pageBreakBefore w:val="0"/>
              <w:widowControl w:val="0"/>
              <w:tabs>
                <w:tab w:val="left" w:pos="1018"/>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2"/>
                <w:sz w:val="24"/>
                <w:szCs w:val="32"/>
                <w:highlight w:val="none"/>
                <w:vertAlign w:val="baseline"/>
                <w:lang w:val="en-US" w:eastAsia="zh-CN" w:bidi="ar-SA"/>
              </w:rPr>
            </w:pPr>
            <w:r>
              <w:rPr>
                <w:rFonts w:hint="default" w:ascii="Times New Roman" w:hAnsi="Times New Roman" w:cs="Times New Roman"/>
                <w:color w:val="auto"/>
                <w:kern w:val="2"/>
                <w:sz w:val="24"/>
                <w:szCs w:val="32"/>
                <w:highlight w:val="none"/>
                <w:vertAlign w:val="baseline"/>
                <w:lang w:val="en-US" w:eastAsia="zh-CN" w:bidi="ar-SA"/>
              </w:rPr>
              <w:t>投诉、举报</w:t>
            </w:r>
          </w:p>
        </w:tc>
        <w:tc>
          <w:tcPr>
            <w:tcW w:w="5776" w:type="dxa"/>
            <w:shd w:val="clear" w:color="auto" w:fill="auto"/>
            <w:noWrap w:val="0"/>
            <w:vAlign w:val="top"/>
          </w:tcPr>
          <w:p w14:paraId="208B73B2">
            <w:pPr>
              <w:keepNext w:val="0"/>
              <w:keepLines w:val="0"/>
              <w:pageBreakBefore w:val="0"/>
              <w:widowControl w:val="0"/>
              <w:tabs>
                <w:tab w:val="left" w:pos="1018"/>
              </w:tabs>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kern w:val="2"/>
                <w:sz w:val="24"/>
                <w:szCs w:val="32"/>
                <w:highlight w:val="none"/>
                <w:vertAlign w:val="baseline"/>
                <w:lang w:val="en-US" w:eastAsia="zh-CN" w:bidi="ar-SA"/>
              </w:rPr>
            </w:pPr>
            <w:r>
              <w:rPr>
                <w:rFonts w:hint="default" w:ascii="Times New Roman" w:hAnsi="Times New Roman" w:eastAsia="宋体" w:cs="Times New Roman"/>
                <w:color w:val="auto"/>
                <w:kern w:val="2"/>
                <w:sz w:val="24"/>
                <w:szCs w:val="32"/>
                <w:highlight w:val="none"/>
                <w:vertAlign w:val="baseline"/>
                <w:lang w:val="en-US" w:eastAsia="zh-CN" w:bidi="ar-SA"/>
              </w:rPr>
              <w:t>因代理机构自身原因，每发生1次有效投诉、举报等（同一事项先后被投诉或举报的，按一次计算），扣</w:t>
            </w:r>
            <w:r>
              <w:rPr>
                <w:rFonts w:hint="eastAsia" w:ascii="Times New Roman" w:hAnsi="Times New Roman" w:eastAsia="宋体" w:cs="Times New Roman"/>
                <w:color w:val="auto"/>
                <w:kern w:val="2"/>
                <w:sz w:val="24"/>
                <w:szCs w:val="32"/>
                <w:highlight w:val="none"/>
                <w:vertAlign w:val="baseline"/>
                <w:lang w:val="en-US" w:eastAsia="zh-CN" w:bidi="ar-SA"/>
              </w:rPr>
              <w:t>2</w:t>
            </w:r>
            <w:r>
              <w:rPr>
                <w:rFonts w:hint="default" w:ascii="Times New Roman" w:hAnsi="Times New Roman" w:eastAsia="宋体" w:cs="Times New Roman"/>
                <w:color w:val="auto"/>
                <w:kern w:val="2"/>
                <w:sz w:val="24"/>
                <w:szCs w:val="32"/>
                <w:highlight w:val="none"/>
                <w:vertAlign w:val="baseline"/>
                <w:lang w:val="en-US" w:eastAsia="zh-CN" w:bidi="ar-SA"/>
              </w:rPr>
              <w:t>分，</w:t>
            </w:r>
            <w:r>
              <w:rPr>
                <w:rFonts w:hint="eastAsia" w:ascii="Times New Roman" w:hAnsi="Times New Roman" w:eastAsia="宋体" w:cs="Times New Roman"/>
                <w:color w:val="auto"/>
                <w:kern w:val="2"/>
                <w:sz w:val="24"/>
                <w:szCs w:val="32"/>
                <w:highlight w:val="none"/>
                <w:vertAlign w:val="baseline"/>
                <w:lang w:val="en-US" w:eastAsia="zh-CN" w:bidi="ar-SA"/>
              </w:rPr>
              <w:t>该项扣完为止</w:t>
            </w:r>
            <w:r>
              <w:rPr>
                <w:rFonts w:hint="default" w:ascii="Times New Roman" w:hAnsi="Times New Roman" w:eastAsia="宋体" w:cs="Times New Roman"/>
                <w:color w:val="auto"/>
                <w:kern w:val="2"/>
                <w:sz w:val="24"/>
                <w:szCs w:val="32"/>
                <w:highlight w:val="none"/>
                <w:vertAlign w:val="baseline"/>
                <w:lang w:val="en-US" w:eastAsia="zh-CN" w:bidi="ar-SA"/>
              </w:rPr>
              <w:t>。</w:t>
            </w:r>
          </w:p>
        </w:tc>
      </w:tr>
      <w:tr w14:paraId="6F36E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741" w:type="dxa"/>
            <w:gridSpan w:val="2"/>
            <w:vMerge w:val="continue"/>
            <w:shd w:val="clear" w:color="auto" w:fill="auto"/>
            <w:noWrap w:val="0"/>
            <w:vAlign w:val="center"/>
          </w:tcPr>
          <w:p w14:paraId="59544DCE">
            <w:pPr>
              <w:keepNext w:val="0"/>
              <w:keepLines w:val="0"/>
              <w:pageBreakBefore w:val="0"/>
              <w:widowControl w:val="0"/>
              <w:tabs>
                <w:tab w:val="left" w:pos="1018"/>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kern w:val="2"/>
                <w:sz w:val="24"/>
                <w:szCs w:val="32"/>
                <w:highlight w:val="none"/>
                <w:vertAlign w:val="baseline"/>
                <w:lang w:val="en-US" w:eastAsia="zh-CN" w:bidi="ar-SA"/>
              </w:rPr>
            </w:pPr>
          </w:p>
        </w:tc>
        <w:tc>
          <w:tcPr>
            <w:tcW w:w="818" w:type="dxa"/>
            <w:vMerge w:val="continue"/>
            <w:shd w:val="clear" w:color="auto" w:fill="auto"/>
            <w:noWrap w:val="0"/>
            <w:vAlign w:val="center"/>
          </w:tcPr>
          <w:p w14:paraId="24FD5498">
            <w:pPr>
              <w:keepNext w:val="0"/>
              <w:keepLines w:val="0"/>
              <w:pageBreakBefore w:val="0"/>
              <w:widowControl w:val="0"/>
              <w:tabs>
                <w:tab w:val="left" w:pos="1018"/>
              </w:tabs>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kern w:val="2"/>
                <w:sz w:val="24"/>
                <w:szCs w:val="32"/>
                <w:highlight w:val="none"/>
                <w:vertAlign w:val="baseline"/>
                <w:lang w:val="en-US" w:eastAsia="zh-CN" w:bidi="ar-SA"/>
              </w:rPr>
            </w:pPr>
          </w:p>
        </w:tc>
        <w:tc>
          <w:tcPr>
            <w:tcW w:w="855" w:type="dxa"/>
            <w:shd w:val="clear" w:color="auto" w:fill="auto"/>
            <w:noWrap w:val="0"/>
            <w:vAlign w:val="center"/>
          </w:tcPr>
          <w:p w14:paraId="704DA3D6">
            <w:pPr>
              <w:keepNext w:val="0"/>
              <w:keepLines w:val="0"/>
              <w:pageBreakBefore w:val="0"/>
              <w:widowControl w:val="0"/>
              <w:tabs>
                <w:tab w:val="left" w:pos="1018"/>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2"/>
                <w:sz w:val="24"/>
                <w:szCs w:val="32"/>
                <w:highlight w:val="none"/>
                <w:vertAlign w:val="baseline"/>
                <w:lang w:val="en-US" w:eastAsia="zh-CN" w:bidi="ar-SA"/>
              </w:rPr>
            </w:pPr>
            <w:r>
              <w:rPr>
                <w:rFonts w:hint="default" w:ascii="Times New Roman" w:hAnsi="Times New Roman" w:cs="Times New Roman"/>
                <w:color w:val="auto"/>
                <w:kern w:val="2"/>
                <w:sz w:val="24"/>
                <w:szCs w:val="32"/>
                <w:highlight w:val="none"/>
                <w:vertAlign w:val="baseline"/>
                <w:lang w:val="en-US" w:eastAsia="zh-CN" w:bidi="ar-SA"/>
              </w:rPr>
              <w:t>文书认定</w:t>
            </w:r>
          </w:p>
        </w:tc>
        <w:tc>
          <w:tcPr>
            <w:tcW w:w="5776" w:type="dxa"/>
            <w:shd w:val="clear" w:color="auto" w:fill="auto"/>
            <w:noWrap w:val="0"/>
            <w:vAlign w:val="top"/>
          </w:tcPr>
          <w:p w14:paraId="7EFDF0BE">
            <w:pPr>
              <w:keepNext w:val="0"/>
              <w:keepLines w:val="0"/>
              <w:pageBreakBefore w:val="0"/>
              <w:widowControl w:val="0"/>
              <w:tabs>
                <w:tab w:val="left" w:pos="1018"/>
              </w:tabs>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kern w:val="2"/>
                <w:sz w:val="24"/>
                <w:szCs w:val="32"/>
                <w:highlight w:val="none"/>
                <w:vertAlign w:val="baseline"/>
                <w:lang w:val="en-US" w:eastAsia="zh-CN" w:bidi="ar-SA"/>
              </w:rPr>
            </w:pPr>
            <w:r>
              <w:rPr>
                <w:rFonts w:hint="default" w:ascii="Times New Roman" w:hAnsi="Times New Roman" w:eastAsia="宋体" w:cs="Times New Roman"/>
                <w:color w:val="auto"/>
                <w:kern w:val="2"/>
                <w:sz w:val="24"/>
                <w:szCs w:val="32"/>
                <w:highlight w:val="none"/>
                <w:vertAlign w:val="baseline"/>
                <w:lang w:val="en-US" w:eastAsia="zh-CN" w:bidi="ar-SA"/>
              </w:rPr>
              <w:t>评价期内出现下</w:t>
            </w:r>
            <w:r>
              <w:rPr>
                <w:rFonts w:hint="default" w:ascii="Times New Roman" w:hAnsi="Times New Roman" w:eastAsia="宋体" w:cs="Times New Roman"/>
                <w:color w:val="auto"/>
                <w:kern w:val="2"/>
                <w:sz w:val="24"/>
                <w:szCs w:val="32"/>
                <w:highlight w:val="none"/>
                <w:vertAlign w:val="baseline"/>
                <w:lang w:val="en-US" w:eastAsia="zh-CN" w:bidi="ar-SA"/>
              </w:rPr>
              <w:t>述任意一种情况：①已生效的行政处罚决定书；②</w:t>
            </w:r>
            <w:r>
              <w:rPr>
                <w:rFonts w:hint="eastAsia" w:ascii="Times New Roman" w:hAnsi="Times New Roman" w:eastAsia="宋体" w:cs="Times New Roman"/>
                <w:color w:val="auto"/>
                <w:kern w:val="2"/>
                <w:sz w:val="24"/>
                <w:szCs w:val="32"/>
                <w:highlight w:val="none"/>
                <w:vertAlign w:val="baseline"/>
                <w:lang w:val="en-US" w:eastAsia="zh-CN" w:bidi="ar-SA"/>
              </w:rPr>
              <w:t>行政主管</w:t>
            </w:r>
            <w:r>
              <w:rPr>
                <w:rFonts w:hint="default" w:ascii="Times New Roman" w:hAnsi="Times New Roman" w:eastAsia="宋体" w:cs="Times New Roman"/>
                <w:color w:val="auto"/>
                <w:kern w:val="2"/>
                <w:sz w:val="24"/>
                <w:szCs w:val="32"/>
                <w:highlight w:val="none"/>
                <w:vertAlign w:val="baseline"/>
                <w:lang w:val="en-US" w:eastAsia="zh-CN" w:bidi="ar-SA"/>
              </w:rPr>
              <w:t>部门做出的不良行为记录；③其它具有法律约束力的文件或经有关部门或机构查证属实的材料，该项不得分。</w:t>
            </w:r>
          </w:p>
        </w:tc>
      </w:tr>
      <w:tr w14:paraId="67AE2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741" w:type="dxa"/>
            <w:gridSpan w:val="2"/>
            <w:shd w:val="clear" w:color="auto" w:fill="auto"/>
            <w:noWrap w:val="0"/>
            <w:vAlign w:val="center"/>
          </w:tcPr>
          <w:p w14:paraId="601FCF42">
            <w:pPr>
              <w:keepNext w:val="0"/>
              <w:keepLines w:val="0"/>
              <w:pageBreakBefore w:val="0"/>
              <w:widowControl w:val="0"/>
              <w:tabs>
                <w:tab w:val="left" w:pos="1018"/>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kern w:val="2"/>
                <w:sz w:val="24"/>
                <w:szCs w:val="32"/>
                <w:highlight w:val="none"/>
                <w:vertAlign w:val="baseline"/>
                <w:lang w:val="en-US" w:eastAsia="zh-CN" w:bidi="ar-SA"/>
              </w:rPr>
            </w:pPr>
            <w:r>
              <w:rPr>
                <w:rFonts w:hint="default" w:ascii="Times New Roman" w:hAnsi="Times New Roman" w:cs="Times New Roman"/>
                <w:color w:val="auto"/>
                <w:kern w:val="2"/>
                <w:sz w:val="24"/>
                <w:szCs w:val="32"/>
                <w:highlight w:val="none"/>
                <w:vertAlign w:val="baseline"/>
                <w:lang w:val="en-US" w:eastAsia="zh-CN" w:bidi="ar-SA"/>
              </w:rPr>
              <w:t>社会责任</w:t>
            </w:r>
          </w:p>
          <w:p w14:paraId="4B85980C">
            <w:pPr>
              <w:keepNext w:val="0"/>
              <w:keepLines w:val="0"/>
              <w:pageBreakBefore w:val="0"/>
              <w:widowControl w:val="0"/>
              <w:tabs>
                <w:tab w:val="left" w:pos="1018"/>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kern w:val="2"/>
                <w:sz w:val="24"/>
                <w:szCs w:val="32"/>
                <w:highlight w:val="none"/>
                <w:vertAlign w:val="baseline"/>
                <w:lang w:val="en-US" w:eastAsia="zh-CN" w:bidi="ar-SA"/>
              </w:rPr>
            </w:pPr>
            <w:r>
              <w:rPr>
                <w:rFonts w:hint="default" w:ascii="Times New Roman" w:hAnsi="Times New Roman" w:cs="Times New Roman"/>
                <w:color w:val="auto"/>
                <w:kern w:val="2"/>
                <w:sz w:val="24"/>
                <w:szCs w:val="32"/>
                <w:highlight w:val="none"/>
                <w:vertAlign w:val="baseline"/>
                <w:lang w:val="en-US" w:eastAsia="zh-CN" w:bidi="ar-SA"/>
              </w:rPr>
              <w:t>（附加）</w:t>
            </w:r>
          </w:p>
        </w:tc>
        <w:tc>
          <w:tcPr>
            <w:tcW w:w="818" w:type="dxa"/>
            <w:shd w:val="clear" w:color="auto" w:fill="auto"/>
            <w:noWrap w:val="0"/>
            <w:vAlign w:val="center"/>
          </w:tcPr>
          <w:p w14:paraId="1A0CDDE1">
            <w:pPr>
              <w:keepNext w:val="0"/>
              <w:keepLines w:val="0"/>
              <w:pageBreakBefore w:val="0"/>
              <w:widowControl w:val="0"/>
              <w:tabs>
                <w:tab w:val="left" w:pos="1018"/>
              </w:tabs>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kern w:val="2"/>
                <w:sz w:val="24"/>
                <w:szCs w:val="32"/>
                <w:highlight w:val="none"/>
                <w:vertAlign w:val="baseline"/>
                <w:lang w:val="en-US" w:eastAsia="zh-CN" w:bidi="ar-SA"/>
              </w:rPr>
            </w:pPr>
            <w:r>
              <w:rPr>
                <w:rFonts w:hint="default" w:ascii="Times New Roman" w:hAnsi="Times New Roman" w:eastAsia="宋体" w:cs="Times New Roman"/>
                <w:color w:val="auto"/>
                <w:kern w:val="2"/>
                <w:sz w:val="24"/>
                <w:szCs w:val="32"/>
                <w:highlight w:val="none"/>
                <w:vertAlign w:val="baseline"/>
                <w:lang w:val="en-US" w:eastAsia="zh-CN" w:bidi="ar-SA"/>
              </w:rPr>
              <w:t>5</w:t>
            </w:r>
          </w:p>
        </w:tc>
        <w:tc>
          <w:tcPr>
            <w:tcW w:w="6631" w:type="dxa"/>
            <w:gridSpan w:val="2"/>
            <w:shd w:val="clear" w:color="auto" w:fill="auto"/>
            <w:noWrap w:val="0"/>
            <w:vAlign w:val="top"/>
          </w:tcPr>
          <w:p w14:paraId="6FA50AC4">
            <w:pPr>
              <w:keepNext w:val="0"/>
              <w:keepLines w:val="0"/>
              <w:pageBreakBefore w:val="0"/>
              <w:widowControl w:val="0"/>
              <w:tabs>
                <w:tab w:val="left" w:pos="1018"/>
              </w:tabs>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kern w:val="2"/>
                <w:sz w:val="24"/>
                <w:szCs w:val="32"/>
                <w:highlight w:val="none"/>
                <w:vertAlign w:val="baseline"/>
                <w:lang w:val="en-US" w:eastAsia="zh-CN" w:bidi="ar-SA"/>
              </w:rPr>
            </w:pPr>
            <w:r>
              <w:rPr>
                <w:rFonts w:hint="default" w:ascii="Times New Roman" w:hAnsi="Times New Roman" w:cs="Times New Roman"/>
                <w:color w:val="auto"/>
                <w:kern w:val="2"/>
                <w:sz w:val="24"/>
                <w:szCs w:val="32"/>
                <w:highlight w:val="none"/>
                <w:vertAlign w:val="baseline"/>
                <w:lang w:val="en-US" w:eastAsia="zh-CN" w:bidi="ar-SA"/>
              </w:rPr>
              <w:t>向交易中心报送创新工作信息的，每项得1分；</w:t>
            </w:r>
            <w:r>
              <w:rPr>
                <w:rFonts w:hint="default" w:ascii="Times New Roman" w:hAnsi="Times New Roman" w:eastAsia="宋体" w:cs="Times New Roman"/>
                <w:color w:val="auto"/>
                <w:kern w:val="2"/>
                <w:sz w:val="24"/>
                <w:szCs w:val="32"/>
                <w:highlight w:val="none"/>
                <w:vertAlign w:val="baseline"/>
                <w:lang w:val="en-US" w:eastAsia="zh-CN" w:bidi="ar-SA"/>
              </w:rPr>
              <w:t>为我市公共资源交易管理工作提出合理化建议被采纳的，每次得1分</w:t>
            </w:r>
            <w:r>
              <w:rPr>
                <w:rFonts w:hint="default" w:ascii="Times New Roman" w:hAnsi="Times New Roman" w:cs="Times New Roman"/>
                <w:color w:val="auto"/>
                <w:kern w:val="2"/>
                <w:sz w:val="24"/>
                <w:szCs w:val="32"/>
                <w:highlight w:val="none"/>
                <w:vertAlign w:val="baseline"/>
                <w:lang w:val="en-US" w:eastAsia="zh-CN" w:bidi="ar-SA"/>
              </w:rPr>
              <w:t>。该项最高5分。</w:t>
            </w:r>
          </w:p>
        </w:tc>
      </w:tr>
    </w:tbl>
    <w:p w14:paraId="1568D27E">
      <w:pPr>
        <w:keepNext w:val="0"/>
        <w:keepLines w:val="0"/>
        <w:pageBreakBefore w:val="0"/>
        <w:widowControl w:val="0"/>
        <w:tabs>
          <w:tab w:val="left" w:pos="673"/>
        </w:tabs>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注：1.评价周期结束后，根据综合评分情况评定“星级”，由高到低分为五星、四星、三星、二星、一星：（1）综合评分在80（含）分以上的，按照得分排名情况授星，其中得分排名前30%（含）的代理机构，列为五星;得分排名前30%-65%（含）的代理机构列为四星；得分排名前65%-100%（含）的代理机构列为三星。（2）综合评分在70（含）-80分的代理机构列为二星。（3）综合评分在60（含）-70分的代理机构列为一星；（4）综合评分在60分以下的代理机构不予授星，并由交易中心联合相关监管部门对其负责人进行约谈，加强教育培训，并列入重点监管名单，加大检查强度。</w:t>
      </w:r>
    </w:p>
    <w:p w14:paraId="29076D25">
      <w:pPr>
        <w:keepNext w:val="0"/>
        <w:keepLines w:val="0"/>
        <w:pageBreakBefore w:val="0"/>
        <w:widowControl w:val="0"/>
        <w:tabs>
          <w:tab w:val="left" w:pos="673"/>
        </w:tabs>
        <w:kinsoku/>
        <w:wordWrap/>
        <w:overflowPunct/>
        <w:topLinePunct w:val="0"/>
        <w:autoSpaceDE/>
        <w:autoSpaceDN/>
        <w:bidi w:val="0"/>
        <w:adjustRightInd/>
        <w:snapToGrid/>
        <w:spacing w:line="400" w:lineRule="exact"/>
        <w:ind w:firstLine="480" w:firstLineChars="200"/>
        <w:jc w:val="both"/>
        <w:textAlignment w:val="auto"/>
        <w:rPr>
          <w:rStyle w:val="13"/>
          <w:rFonts w:hint="eastAsia" w:ascii="宋体" w:hAnsi="宋体" w:eastAsia="宋体" w:cs="宋体"/>
          <w:b w:val="0"/>
          <w:bCs w:val="0"/>
          <w:color w:val="auto"/>
          <w:sz w:val="24"/>
          <w:szCs w:val="24"/>
          <w:highlight w:val="none"/>
          <w:lang w:val="en-US" w:eastAsia="zh-CN" w:bidi="ar"/>
        </w:rPr>
      </w:pPr>
      <w:r>
        <w:rPr>
          <w:rStyle w:val="13"/>
          <w:rFonts w:hint="eastAsia" w:ascii="宋体" w:hAnsi="宋体" w:eastAsia="宋体" w:cs="宋体"/>
          <w:b w:val="0"/>
          <w:bCs w:val="0"/>
          <w:color w:val="auto"/>
          <w:sz w:val="24"/>
          <w:szCs w:val="24"/>
          <w:highlight w:val="none"/>
          <w:lang w:val="en-US" w:eastAsia="zh-CN" w:bidi="ar"/>
        </w:rPr>
        <w:t>2.代理机构务必确保相关证明材料的客观真实，未提供证明材料的不得分。交易中心将采取随机抽查方式，一经发现虚报瞒报、或虚假信息的，相关</w:t>
      </w:r>
      <w:r>
        <w:rPr>
          <w:rStyle w:val="14"/>
          <w:rFonts w:hint="eastAsia" w:ascii="宋体" w:hAnsi="宋体" w:eastAsia="宋体" w:cs="宋体"/>
          <w:b w:val="0"/>
          <w:bCs w:val="0"/>
          <w:color w:val="auto"/>
          <w:sz w:val="24"/>
          <w:szCs w:val="24"/>
          <w:highlight w:val="none"/>
          <w:lang w:val="en-US" w:eastAsia="zh-CN" w:bidi="ar"/>
        </w:rPr>
        <w:t>代理机构</w:t>
      </w:r>
      <w:r>
        <w:rPr>
          <w:rStyle w:val="13"/>
          <w:rFonts w:hint="eastAsia" w:ascii="宋体" w:hAnsi="宋体" w:eastAsia="宋体" w:cs="宋体"/>
          <w:b w:val="0"/>
          <w:bCs w:val="0"/>
          <w:color w:val="auto"/>
          <w:sz w:val="24"/>
          <w:szCs w:val="24"/>
          <w:highlight w:val="none"/>
          <w:lang w:val="en-US" w:eastAsia="zh-CN" w:bidi="ar"/>
        </w:rPr>
        <w:t>将被直接取消星级。</w:t>
      </w:r>
    </w:p>
    <w:p w14:paraId="511F252C">
      <w:pPr>
        <w:keepNext w:val="0"/>
        <w:keepLines w:val="0"/>
        <w:pageBreakBefore w:val="0"/>
        <w:widowControl w:val="0"/>
        <w:tabs>
          <w:tab w:val="left" w:pos="673"/>
        </w:tabs>
        <w:kinsoku/>
        <w:wordWrap/>
        <w:overflowPunct/>
        <w:topLinePunct w:val="0"/>
        <w:autoSpaceDE/>
        <w:autoSpaceDN/>
        <w:bidi w:val="0"/>
        <w:adjustRightInd/>
        <w:snapToGrid/>
        <w:spacing w:line="400" w:lineRule="exact"/>
        <w:ind w:firstLine="480" w:firstLineChars="200"/>
        <w:jc w:val="both"/>
        <w:textAlignment w:val="auto"/>
        <w:rPr>
          <w:rStyle w:val="13"/>
          <w:rFonts w:hint="default" w:ascii="宋体" w:hAnsi="宋体" w:eastAsia="宋体" w:cs="宋体"/>
          <w:b w:val="0"/>
          <w:bCs w:val="0"/>
          <w:color w:val="auto"/>
          <w:sz w:val="24"/>
          <w:szCs w:val="24"/>
          <w:highlight w:val="none"/>
          <w:lang w:val="en-US" w:eastAsia="zh-CN" w:bidi="ar"/>
        </w:rPr>
      </w:pPr>
      <w:r>
        <w:rPr>
          <w:rStyle w:val="13"/>
          <w:rFonts w:hint="eastAsia" w:ascii="宋体" w:hAnsi="宋体" w:eastAsia="宋体" w:cs="宋体"/>
          <w:b w:val="0"/>
          <w:bCs w:val="0"/>
          <w:color w:val="auto"/>
          <w:sz w:val="24"/>
          <w:szCs w:val="24"/>
          <w:highlight w:val="none"/>
          <w:lang w:val="en-US" w:eastAsia="zh-CN" w:bidi="ar"/>
        </w:rPr>
        <w:t>3.代理业绩中的项目完成情况</w:t>
      </w:r>
      <w:r>
        <w:rPr>
          <w:rStyle w:val="13"/>
          <w:rFonts w:hint="default" w:ascii="宋体" w:hAnsi="宋体" w:eastAsia="宋体" w:cs="宋体"/>
          <w:b w:val="0"/>
          <w:bCs w:val="0"/>
          <w:color w:val="auto"/>
          <w:sz w:val="24"/>
          <w:szCs w:val="24"/>
          <w:highlight w:val="none"/>
          <w:lang w:val="en-US" w:eastAsia="zh-CN" w:bidi="ar"/>
        </w:rPr>
        <w:t>以开评标结束为准。</w:t>
      </w:r>
    </w:p>
    <w:p w14:paraId="3F434F2A">
      <w:pPr>
        <w:keepNext w:val="0"/>
        <w:keepLines w:val="0"/>
        <w:pageBreakBefore w:val="0"/>
        <w:widowControl w:val="0"/>
        <w:tabs>
          <w:tab w:val="left" w:pos="673"/>
        </w:tabs>
        <w:kinsoku/>
        <w:wordWrap/>
        <w:overflowPunct/>
        <w:topLinePunct w:val="0"/>
        <w:autoSpaceDE/>
        <w:autoSpaceDN/>
        <w:bidi w:val="0"/>
        <w:adjustRightInd/>
        <w:snapToGrid/>
        <w:spacing w:line="400" w:lineRule="exact"/>
        <w:ind w:firstLine="480" w:firstLineChars="200"/>
        <w:jc w:val="both"/>
        <w:textAlignment w:val="auto"/>
        <w:rPr>
          <w:rStyle w:val="13"/>
          <w:rFonts w:hint="eastAsia" w:ascii="宋体" w:hAnsi="宋体" w:eastAsia="宋体" w:cs="宋体"/>
          <w:b w:val="0"/>
          <w:bCs w:val="0"/>
          <w:color w:val="auto"/>
          <w:sz w:val="24"/>
          <w:szCs w:val="24"/>
          <w:highlight w:val="none"/>
          <w:lang w:val="en-US" w:eastAsia="zh-CN" w:bidi="ar"/>
        </w:rPr>
      </w:pPr>
      <w:r>
        <w:rPr>
          <w:rStyle w:val="13"/>
          <w:rFonts w:hint="eastAsia" w:ascii="宋体" w:hAnsi="宋体" w:eastAsia="宋体" w:cs="宋体"/>
          <w:b w:val="0"/>
          <w:bCs w:val="0"/>
          <w:color w:val="auto"/>
          <w:sz w:val="24"/>
          <w:szCs w:val="24"/>
          <w:highlight w:val="none"/>
          <w:lang w:val="en-US" w:eastAsia="zh-CN" w:bidi="ar"/>
        </w:rPr>
        <w:t>4.</w:t>
      </w:r>
      <w:r>
        <w:rPr>
          <w:rStyle w:val="13"/>
          <w:rFonts w:hint="eastAsia" w:ascii="宋体" w:hAnsi="宋体" w:eastAsia="宋体" w:cs="宋体"/>
          <w:b w:val="0"/>
          <w:bCs w:val="0"/>
          <w:color w:val="auto"/>
          <w:sz w:val="24"/>
          <w:szCs w:val="24"/>
          <w:highlight w:val="none"/>
          <w:lang w:val="en-US" w:eastAsia="zh-CN" w:bidi="ar"/>
        </w:rPr>
        <w:t>对工程类项目、采购类项目代理机构按照综合评价标准实行分别记分，对限额以下（国企采购）公共资源交易项目代理机构仅进行场内行为评价（不计入代理业绩中的项目完成情况），并纳入考评总分。</w:t>
      </w:r>
    </w:p>
    <w:p w14:paraId="7D40D13E">
      <w:pPr>
        <w:rPr>
          <w:rStyle w:val="13"/>
          <w:rFonts w:hint="eastAsia" w:ascii="宋体" w:hAnsi="宋体" w:eastAsia="宋体" w:cs="宋体"/>
          <w:b w:val="0"/>
          <w:bCs w:val="0"/>
          <w:color w:val="auto"/>
          <w:sz w:val="24"/>
          <w:szCs w:val="24"/>
          <w:highlight w:val="none"/>
          <w:lang w:val="en-US" w:eastAsia="zh-CN" w:bidi="ar"/>
        </w:rPr>
      </w:pPr>
      <w:r>
        <w:rPr>
          <w:rStyle w:val="13"/>
          <w:rFonts w:hint="eastAsia" w:ascii="宋体" w:hAnsi="宋体" w:eastAsia="宋体" w:cs="宋体"/>
          <w:b w:val="0"/>
          <w:bCs w:val="0"/>
          <w:color w:val="auto"/>
          <w:sz w:val="24"/>
          <w:szCs w:val="24"/>
          <w:highlight w:val="none"/>
          <w:lang w:val="en-US" w:eastAsia="zh-CN" w:bidi="ar"/>
        </w:rPr>
        <w:br w:type="page"/>
      </w:r>
    </w:p>
    <w:p w14:paraId="0C800700">
      <w:pPr>
        <w:keepNext w:val="0"/>
        <w:keepLines w:val="0"/>
        <w:pageBreakBefore w:val="0"/>
        <w:widowControl w:val="0"/>
        <w:tabs>
          <w:tab w:val="left" w:pos="673"/>
        </w:tabs>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附件3</w:t>
      </w:r>
    </w:p>
    <w:p w14:paraId="1E821A24">
      <w:pPr>
        <w:keepNext w:val="0"/>
        <w:keepLines w:val="0"/>
        <w:pageBreakBefore w:val="0"/>
        <w:widowControl w:val="0"/>
        <w:tabs>
          <w:tab w:val="left" w:pos="673"/>
        </w:tabs>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auto"/>
          <w:kern w:val="0"/>
          <w:sz w:val="32"/>
          <w:szCs w:val="32"/>
          <w:highlight w:val="none"/>
          <w:lang w:val="en-US" w:eastAsia="zh-CN"/>
        </w:rPr>
      </w:pPr>
    </w:p>
    <w:p w14:paraId="338FB652">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代理机构场内行为评价扣分标准</w:t>
      </w:r>
    </w:p>
    <w:p w14:paraId="1EC12FE9">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方正小标宋简体" w:hAnsi="方正小标宋简体" w:eastAsia="方正小标宋简体" w:cs="方正小标宋简体"/>
          <w:color w:val="auto"/>
          <w:sz w:val="44"/>
          <w:szCs w:val="44"/>
          <w:highlight w:val="none"/>
          <w:lang w:val="en-US" w:eastAsia="zh-CN"/>
        </w:rPr>
      </w:pPr>
    </w:p>
    <w:tbl>
      <w:tblPr>
        <w:tblStyle w:val="6"/>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969"/>
        <w:gridCol w:w="6301"/>
        <w:gridCol w:w="998"/>
      </w:tblGrid>
      <w:tr w14:paraId="19BAD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88" w:type="dxa"/>
            <w:noWrap w:val="0"/>
            <w:vAlign w:val="center"/>
          </w:tcPr>
          <w:p w14:paraId="0679B7D4">
            <w:pPr>
              <w:widowControl/>
              <w:jc w:val="center"/>
              <w:rPr>
                <w:rFonts w:ascii="宋体" w:hAnsi="宋体" w:eastAsia="宋体" w:cs="宋体"/>
                <w:b/>
                <w:bCs/>
                <w:color w:val="auto"/>
                <w:kern w:val="0"/>
                <w:sz w:val="24"/>
                <w:szCs w:val="24"/>
                <w:highlight w:val="none"/>
              </w:rPr>
            </w:pPr>
            <w:bookmarkStart w:id="24" w:name="OLE_LINK20"/>
            <w:r>
              <w:rPr>
                <w:rFonts w:hint="eastAsia" w:ascii="宋体" w:hAnsi="宋体" w:eastAsia="宋体" w:cs="宋体"/>
                <w:b/>
                <w:bCs/>
                <w:color w:val="auto"/>
                <w:kern w:val="0"/>
                <w:sz w:val="24"/>
                <w:szCs w:val="24"/>
                <w:highlight w:val="none"/>
              </w:rPr>
              <w:t>序号</w:t>
            </w:r>
          </w:p>
        </w:tc>
        <w:tc>
          <w:tcPr>
            <w:tcW w:w="969" w:type="dxa"/>
            <w:noWrap w:val="0"/>
            <w:vAlign w:val="center"/>
          </w:tcPr>
          <w:p w14:paraId="23FC50EC">
            <w:pPr>
              <w:widowControl/>
              <w:jc w:val="center"/>
              <w:rPr>
                <w:rFonts w:hint="eastAsia" w:ascii="宋体" w:hAnsi="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交易</w:t>
            </w:r>
          </w:p>
          <w:p w14:paraId="5946270E">
            <w:pPr>
              <w:widowControl/>
              <w:jc w:val="center"/>
              <w:rPr>
                <w:rFonts w:hint="eastAsia"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环节</w:t>
            </w:r>
          </w:p>
        </w:tc>
        <w:tc>
          <w:tcPr>
            <w:tcW w:w="6301" w:type="dxa"/>
            <w:noWrap w:val="0"/>
            <w:vAlign w:val="center"/>
          </w:tcPr>
          <w:p w14:paraId="0377C5FB">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评价</w:t>
            </w:r>
            <w:r>
              <w:rPr>
                <w:rFonts w:hint="eastAsia" w:ascii="宋体" w:hAnsi="宋体" w:eastAsia="宋体" w:cs="宋体"/>
                <w:b/>
                <w:bCs/>
                <w:color w:val="auto"/>
                <w:kern w:val="0"/>
                <w:sz w:val="24"/>
                <w:szCs w:val="24"/>
                <w:highlight w:val="none"/>
              </w:rPr>
              <w:t>内容</w:t>
            </w:r>
          </w:p>
        </w:tc>
        <w:tc>
          <w:tcPr>
            <w:tcW w:w="998" w:type="dxa"/>
            <w:noWrap w:val="0"/>
            <w:vAlign w:val="center"/>
          </w:tcPr>
          <w:p w14:paraId="36E7B31B">
            <w:pPr>
              <w:widowControl/>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扣</w:t>
            </w:r>
            <w:r>
              <w:rPr>
                <w:rFonts w:hint="eastAsia" w:ascii="宋体" w:hAnsi="宋体" w:eastAsia="宋体" w:cs="宋体"/>
                <w:b/>
                <w:bCs/>
                <w:color w:val="auto"/>
                <w:kern w:val="0"/>
                <w:sz w:val="24"/>
                <w:szCs w:val="24"/>
                <w:highlight w:val="none"/>
              </w:rPr>
              <w:t>分</w:t>
            </w:r>
            <w:r>
              <w:rPr>
                <w:rFonts w:hint="eastAsia" w:ascii="宋体" w:hAnsi="宋体" w:cs="宋体"/>
                <w:b/>
                <w:bCs/>
                <w:color w:val="auto"/>
                <w:kern w:val="0"/>
                <w:sz w:val="24"/>
                <w:szCs w:val="24"/>
                <w:highlight w:val="none"/>
                <w:lang w:val="en-US" w:eastAsia="zh-CN"/>
              </w:rPr>
              <w:t>值</w:t>
            </w:r>
          </w:p>
        </w:tc>
      </w:tr>
      <w:tr w14:paraId="76E12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88" w:type="dxa"/>
            <w:noWrap w:val="0"/>
            <w:vAlign w:val="center"/>
          </w:tcPr>
          <w:p w14:paraId="4C2A852D">
            <w:pPr>
              <w:keepNext w:val="0"/>
              <w:keepLines w:val="0"/>
              <w:widowControl/>
              <w:suppressLineNumbers w:val="0"/>
              <w:jc w:val="center"/>
              <w:textAlignment w:val="center"/>
              <w:rPr>
                <w:rFonts w:hint="eastAsia" w:ascii="仿宋" w:hAnsi="仿宋" w:eastAsia="仿宋" w:cs="宋体"/>
                <w:b w:val="0"/>
                <w:bCs w:val="0"/>
                <w:color w:val="auto"/>
                <w:kern w:val="0"/>
                <w:sz w:val="24"/>
                <w:szCs w:val="24"/>
                <w:highlight w:val="none"/>
                <w:lang w:val="en-US" w:eastAsia="zh-CN"/>
              </w:rPr>
            </w:pPr>
            <w:bookmarkStart w:id="25" w:name="OLE_LINK22" w:colFirst="0" w:colLast="3"/>
            <w:r>
              <w:rPr>
                <w:rFonts w:hint="eastAsia" w:ascii="仿宋" w:hAnsi="仿宋" w:eastAsia="仿宋" w:cs="仿宋"/>
                <w:b w:val="0"/>
                <w:bCs w:val="0"/>
                <w:i w:val="0"/>
                <w:color w:val="auto"/>
                <w:kern w:val="0"/>
                <w:sz w:val="24"/>
                <w:szCs w:val="24"/>
                <w:highlight w:val="none"/>
                <w:u w:val="none"/>
                <w:lang w:val="en-US" w:eastAsia="zh-CN" w:bidi="ar"/>
              </w:rPr>
              <w:t>1</w:t>
            </w:r>
          </w:p>
        </w:tc>
        <w:tc>
          <w:tcPr>
            <w:tcW w:w="969" w:type="dxa"/>
            <w:vMerge w:val="restart"/>
            <w:noWrap w:val="0"/>
            <w:vAlign w:val="center"/>
          </w:tcPr>
          <w:p w14:paraId="2AB201FE">
            <w:pPr>
              <w:widowControl/>
              <w:jc w:val="center"/>
              <w:rPr>
                <w:rFonts w:hint="eastAsia" w:ascii="宋体" w:hAnsi="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所有</w:t>
            </w:r>
          </w:p>
          <w:p w14:paraId="13EB1D10">
            <w:pPr>
              <w:widowControl/>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阶段</w:t>
            </w:r>
          </w:p>
        </w:tc>
        <w:tc>
          <w:tcPr>
            <w:tcW w:w="6301" w:type="dxa"/>
            <w:noWrap w:val="0"/>
            <w:vAlign w:val="center"/>
          </w:tcPr>
          <w:p w14:paraId="6907A7A5">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pacing w:val="-2"/>
                <w:sz w:val="24"/>
                <w:szCs w:val="24"/>
                <w:highlight w:val="none"/>
                <w:lang w:val="en-US" w:eastAsia="zh-CN"/>
              </w:rPr>
              <w:t>代理</w:t>
            </w:r>
            <w:r>
              <w:rPr>
                <w:rFonts w:hint="eastAsia" w:ascii="宋体" w:hAnsi="宋体" w:eastAsia="宋体" w:cs="宋体"/>
                <w:b w:val="0"/>
                <w:bCs w:val="0"/>
                <w:color w:val="auto"/>
                <w:spacing w:val="-2"/>
                <w:sz w:val="24"/>
                <w:szCs w:val="24"/>
                <w:highlight w:val="none"/>
              </w:rPr>
              <w:t>项目</w:t>
            </w:r>
            <w:r>
              <w:rPr>
                <w:rFonts w:hint="eastAsia" w:ascii="宋体" w:hAnsi="宋体" w:eastAsia="宋体" w:cs="宋体"/>
                <w:b w:val="0"/>
                <w:bCs w:val="0"/>
                <w:color w:val="auto"/>
                <w:spacing w:val="-2"/>
                <w:sz w:val="24"/>
                <w:szCs w:val="24"/>
                <w:highlight w:val="none"/>
                <w:lang w:eastAsia="zh-CN"/>
              </w:rPr>
              <w:t>的</w:t>
            </w:r>
            <w:r>
              <w:rPr>
                <w:rFonts w:hint="eastAsia" w:ascii="宋体" w:hAnsi="宋体" w:eastAsia="宋体" w:cs="宋体"/>
                <w:b w:val="0"/>
                <w:bCs w:val="0"/>
                <w:color w:val="auto"/>
                <w:spacing w:val="-2"/>
                <w:sz w:val="24"/>
                <w:szCs w:val="24"/>
                <w:highlight w:val="none"/>
                <w:lang w:val="en-US" w:eastAsia="zh-CN"/>
              </w:rPr>
              <w:t>负责人</w:t>
            </w:r>
            <w:r>
              <w:rPr>
                <w:rFonts w:hint="eastAsia" w:ascii="宋体" w:hAnsi="宋体" w:eastAsia="宋体" w:cs="宋体"/>
                <w:b w:val="0"/>
                <w:bCs w:val="0"/>
                <w:color w:val="auto"/>
                <w:spacing w:val="-2"/>
                <w:sz w:val="24"/>
                <w:szCs w:val="24"/>
                <w:highlight w:val="none"/>
              </w:rPr>
              <w:t>同一时间段从事多个项目代理活动的。</w:t>
            </w:r>
          </w:p>
        </w:tc>
        <w:tc>
          <w:tcPr>
            <w:tcW w:w="998" w:type="dxa"/>
            <w:noWrap w:val="0"/>
            <w:vAlign w:val="center"/>
          </w:tcPr>
          <w:p w14:paraId="004253BE">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2分</w:t>
            </w:r>
          </w:p>
        </w:tc>
      </w:tr>
      <w:tr w14:paraId="7032E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88" w:type="dxa"/>
            <w:noWrap w:val="0"/>
            <w:vAlign w:val="center"/>
          </w:tcPr>
          <w:p w14:paraId="6A159C9B">
            <w:pPr>
              <w:keepNext w:val="0"/>
              <w:keepLines w:val="0"/>
              <w:widowControl/>
              <w:suppressLineNumbers w:val="0"/>
              <w:jc w:val="center"/>
              <w:textAlignment w:val="center"/>
              <w:rPr>
                <w:rFonts w:hint="eastAsia" w:ascii="仿宋" w:hAnsi="仿宋" w:eastAsia="仿宋" w:cs="宋体"/>
                <w:b w:val="0"/>
                <w:bCs w:val="0"/>
                <w:color w:val="auto"/>
                <w:kern w:val="0"/>
                <w:sz w:val="24"/>
                <w:szCs w:val="24"/>
                <w:highlight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
              </w:rPr>
              <w:t>2</w:t>
            </w:r>
          </w:p>
        </w:tc>
        <w:tc>
          <w:tcPr>
            <w:tcW w:w="969" w:type="dxa"/>
            <w:vMerge w:val="continue"/>
            <w:noWrap w:val="0"/>
            <w:vAlign w:val="center"/>
          </w:tcPr>
          <w:p w14:paraId="154E4C3C">
            <w:pPr>
              <w:widowControl/>
              <w:jc w:val="center"/>
              <w:rPr>
                <w:rFonts w:hint="eastAsia" w:ascii="宋体" w:hAnsi="宋体" w:cs="宋体"/>
                <w:b w:val="0"/>
                <w:bCs w:val="0"/>
                <w:color w:val="auto"/>
                <w:kern w:val="0"/>
                <w:sz w:val="24"/>
                <w:szCs w:val="24"/>
                <w:highlight w:val="none"/>
                <w:lang w:val="en-US" w:eastAsia="zh-CN"/>
              </w:rPr>
            </w:pPr>
          </w:p>
        </w:tc>
        <w:tc>
          <w:tcPr>
            <w:tcW w:w="6301" w:type="dxa"/>
            <w:noWrap w:val="0"/>
            <w:vAlign w:val="center"/>
          </w:tcPr>
          <w:p w14:paraId="42DB6943">
            <w:pPr>
              <w:widowControl/>
              <w:jc w:val="left"/>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rPr>
              <w:t>交易信息</w:t>
            </w:r>
            <w:r>
              <w:rPr>
                <w:rFonts w:hint="eastAsia" w:ascii="宋体" w:hAnsi="宋体" w:eastAsia="宋体" w:cs="宋体"/>
                <w:b w:val="0"/>
                <w:bCs w:val="0"/>
                <w:color w:val="auto"/>
                <w:kern w:val="0"/>
                <w:sz w:val="24"/>
                <w:szCs w:val="24"/>
                <w:highlight w:val="none"/>
              </w:rPr>
              <w:t>发布内容</w:t>
            </w:r>
            <w:r>
              <w:rPr>
                <w:rFonts w:hint="eastAsia" w:ascii="宋体" w:hAnsi="宋体" w:eastAsia="宋体" w:cs="宋体"/>
                <w:b w:val="0"/>
                <w:bCs w:val="0"/>
                <w:color w:val="auto"/>
                <w:kern w:val="0"/>
                <w:sz w:val="24"/>
                <w:szCs w:val="24"/>
                <w:highlight w:val="none"/>
                <w:lang w:val="en-US" w:eastAsia="zh-CN"/>
              </w:rPr>
              <w:t>不符合规定的，</w:t>
            </w:r>
            <w:r>
              <w:rPr>
                <w:rFonts w:hint="eastAsia" w:ascii="宋体" w:hAnsi="宋体" w:eastAsia="宋体" w:cs="宋体"/>
                <w:b w:val="0"/>
                <w:bCs w:val="0"/>
                <w:color w:val="auto"/>
                <w:kern w:val="0"/>
                <w:sz w:val="24"/>
                <w:szCs w:val="24"/>
                <w:highlight w:val="none"/>
              </w:rPr>
              <w:t>存在错误或信息不全</w:t>
            </w:r>
            <w:r>
              <w:rPr>
                <w:rFonts w:hint="eastAsia" w:ascii="宋体" w:hAnsi="宋体" w:eastAsia="宋体" w:cs="宋体"/>
                <w:b w:val="0"/>
                <w:bCs w:val="0"/>
                <w:color w:val="auto"/>
                <w:kern w:val="0"/>
                <w:sz w:val="24"/>
                <w:szCs w:val="24"/>
                <w:highlight w:val="none"/>
                <w:lang w:eastAsia="zh-CN"/>
              </w:rPr>
              <w:t>的；</w:t>
            </w:r>
            <w:r>
              <w:rPr>
                <w:rFonts w:hint="eastAsia" w:ascii="宋体" w:hAnsi="宋体" w:eastAsia="宋体" w:cs="宋体"/>
                <w:b w:val="0"/>
                <w:bCs w:val="0"/>
                <w:color w:val="auto"/>
                <w:spacing w:val="-4"/>
                <w:sz w:val="24"/>
                <w:szCs w:val="24"/>
                <w:highlight w:val="none"/>
              </w:rPr>
              <w:t>或在场内</w:t>
            </w:r>
            <w:r>
              <w:rPr>
                <w:rFonts w:hint="eastAsia" w:ascii="宋体" w:hAnsi="宋体" w:eastAsia="宋体" w:cs="宋体"/>
                <w:b w:val="0"/>
                <w:bCs w:val="0"/>
                <w:color w:val="auto"/>
                <w:spacing w:val="-4"/>
                <w:sz w:val="24"/>
                <w:szCs w:val="24"/>
                <w:highlight w:val="none"/>
                <w:lang w:val="en-US" w:eastAsia="zh-CN"/>
              </w:rPr>
              <w:t>开评标的</w:t>
            </w:r>
            <w:r>
              <w:rPr>
                <w:rFonts w:hint="eastAsia" w:ascii="宋体" w:hAnsi="宋体" w:eastAsia="宋体" w:cs="宋体"/>
                <w:b w:val="0"/>
                <w:bCs w:val="0"/>
                <w:color w:val="auto"/>
                <w:spacing w:val="-4"/>
                <w:sz w:val="24"/>
                <w:szCs w:val="24"/>
                <w:highlight w:val="none"/>
              </w:rPr>
              <w:t>项目交易信息未</w:t>
            </w:r>
            <w:r>
              <w:rPr>
                <w:rFonts w:hint="eastAsia" w:ascii="宋体" w:hAnsi="宋体" w:eastAsia="宋体" w:cs="宋体"/>
                <w:b w:val="0"/>
                <w:bCs w:val="0"/>
                <w:color w:val="auto"/>
                <w:spacing w:val="-4"/>
                <w:sz w:val="24"/>
                <w:szCs w:val="24"/>
                <w:highlight w:val="none"/>
                <w:lang w:eastAsia="zh-CN"/>
              </w:rPr>
              <w:t>在</w:t>
            </w:r>
            <w:r>
              <w:rPr>
                <w:rFonts w:hint="eastAsia" w:ascii="宋体" w:hAnsi="宋体" w:eastAsia="宋体" w:cs="宋体"/>
                <w:b w:val="0"/>
                <w:bCs w:val="0"/>
                <w:color w:val="auto"/>
                <w:spacing w:val="-4"/>
                <w:sz w:val="24"/>
                <w:szCs w:val="24"/>
                <w:highlight w:val="none"/>
              </w:rPr>
              <w:t>规定网站发布的</w:t>
            </w:r>
            <w:r>
              <w:rPr>
                <w:rFonts w:hint="eastAsia" w:ascii="宋体" w:hAnsi="宋体" w:eastAsia="宋体" w:cs="宋体"/>
                <w:b w:val="0"/>
                <w:bCs w:val="0"/>
                <w:color w:val="auto"/>
                <w:spacing w:val="-3"/>
                <w:sz w:val="24"/>
                <w:szCs w:val="24"/>
                <w:highlight w:val="none"/>
                <w:lang w:eastAsia="zh-CN"/>
              </w:rPr>
              <w:t>；</w:t>
            </w:r>
            <w:r>
              <w:rPr>
                <w:rFonts w:hint="eastAsia" w:ascii="宋体" w:hAnsi="宋体" w:eastAsia="宋体" w:cs="宋体"/>
                <w:b w:val="0"/>
                <w:bCs w:val="0"/>
                <w:color w:val="auto"/>
                <w:spacing w:val="-3"/>
                <w:sz w:val="24"/>
                <w:szCs w:val="24"/>
                <w:highlight w:val="none"/>
                <w:lang w:val="en-US" w:eastAsia="zh-CN"/>
              </w:rPr>
              <w:t>未按规定程序私自修改和发布信息的。</w:t>
            </w:r>
          </w:p>
        </w:tc>
        <w:tc>
          <w:tcPr>
            <w:tcW w:w="998" w:type="dxa"/>
            <w:noWrap w:val="0"/>
            <w:vAlign w:val="center"/>
          </w:tcPr>
          <w:p w14:paraId="16FA8BDA">
            <w:pPr>
              <w:widowControl/>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cs="宋体"/>
                <w:b w:val="0"/>
                <w:bCs w:val="0"/>
                <w:color w:val="auto"/>
                <w:kern w:val="0"/>
                <w:sz w:val="24"/>
                <w:szCs w:val="24"/>
                <w:highlight w:val="none"/>
                <w:lang w:val="en-US" w:eastAsia="zh-CN"/>
              </w:rPr>
              <w:t>1分/处</w:t>
            </w:r>
          </w:p>
        </w:tc>
      </w:tr>
      <w:tr w14:paraId="32B97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88" w:type="dxa"/>
            <w:noWrap w:val="0"/>
            <w:vAlign w:val="center"/>
          </w:tcPr>
          <w:p w14:paraId="22FD1065">
            <w:pPr>
              <w:keepNext w:val="0"/>
              <w:keepLines w:val="0"/>
              <w:widowControl/>
              <w:suppressLineNumbers w:val="0"/>
              <w:jc w:val="center"/>
              <w:textAlignment w:val="center"/>
              <w:rPr>
                <w:rFonts w:hint="eastAsia" w:ascii="仿宋" w:hAnsi="仿宋" w:eastAsia="仿宋" w:cs="宋体"/>
                <w:b w:val="0"/>
                <w:bCs w:val="0"/>
                <w:color w:val="auto"/>
                <w:kern w:val="0"/>
                <w:sz w:val="24"/>
                <w:szCs w:val="24"/>
                <w:highlight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
              </w:rPr>
              <w:t>3</w:t>
            </w:r>
          </w:p>
        </w:tc>
        <w:tc>
          <w:tcPr>
            <w:tcW w:w="969" w:type="dxa"/>
            <w:vMerge w:val="continue"/>
            <w:noWrap w:val="0"/>
            <w:vAlign w:val="center"/>
          </w:tcPr>
          <w:p w14:paraId="605B5FB1">
            <w:pPr>
              <w:widowControl/>
              <w:jc w:val="center"/>
              <w:rPr>
                <w:rFonts w:hint="eastAsia" w:ascii="宋体" w:hAnsi="宋体" w:eastAsia="宋体" w:cs="宋体"/>
                <w:b w:val="0"/>
                <w:bCs w:val="0"/>
                <w:color w:val="auto"/>
                <w:kern w:val="0"/>
                <w:sz w:val="24"/>
                <w:szCs w:val="24"/>
                <w:highlight w:val="none"/>
              </w:rPr>
            </w:pPr>
          </w:p>
        </w:tc>
        <w:tc>
          <w:tcPr>
            <w:tcW w:w="6301" w:type="dxa"/>
            <w:shd w:val="clear" w:color="auto" w:fill="auto"/>
            <w:noWrap w:val="0"/>
            <w:vAlign w:val="center"/>
          </w:tcPr>
          <w:p w14:paraId="564BC705">
            <w:pPr>
              <w:widowControl/>
              <w:jc w:val="left"/>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rPr>
              <w:t>项目开评标有个性化特殊需求，但开评标前未及时与行政监督部门、交易中心等进行业务对接，对后续开评标造成影响的。</w:t>
            </w:r>
          </w:p>
        </w:tc>
        <w:tc>
          <w:tcPr>
            <w:tcW w:w="998" w:type="dxa"/>
            <w:shd w:val="clear" w:color="auto" w:fill="auto"/>
            <w:noWrap w:val="0"/>
            <w:vAlign w:val="center"/>
          </w:tcPr>
          <w:p w14:paraId="073D26E6">
            <w:pPr>
              <w:widowControl/>
              <w:jc w:val="center"/>
              <w:rPr>
                <w:rFonts w:hint="default" w:ascii="宋体" w:hAnsi="宋体" w:cs="宋体" w:eastAsiaTheme="minorEastAsia"/>
                <w:b w:val="0"/>
                <w:bCs w:val="0"/>
                <w:color w:val="auto"/>
                <w:kern w:val="0"/>
                <w:sz w:val="24"/>
                <w:szCs w:val="24"/>
                <w:highlight w:val="none"/>
                <w:lang w:val="en-US" w:eastAsia="zh-CN" w:bidi="ar-SA"/>
              </w:rPr>
            </w:pPr>
            <w:r>
              <w:rPr>
                <w:rFonts w:hint="eastAsia" w:ascii="宋体" w:hAnsi="宋体" w:cs="宋体"/>
                <w:b w:val="0"/>
                <w:bCs w:val="0"/>
                <w:color w:val="auto"/>
                <w:kern w:val="0"/>
                <w:sz w:val="24"/>
                <w:szCs w:val="24"/>
                <w:highlight w:val="none"/>
                <w:lang w:val="en-US" w:eastAsia="zh-CN"/>
              </w:rPr>
              <w:t>2分</w:t>
            </w:r>
          </w:p>
        </w:tc>
      </w:tr>
      <w:tr w14:paraId="4A061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88" w:type="dxa"/>
            <w:noWrap w:val="0"/>
            <w:vAlign w:val="center"/>
          </w:tcPr>
          <w:p w14:paraId="2DC377E5">
            <w:pPr>
              <w:keepNext w:val="0"/>
              <w:keepLines w:val="0"/>
              <w:widowControl/>
              <w:suppressLineNumbers w:val="0"/>
              <w:jc w:val="center"/>
              <w:textAlignment w:val="center"/>
              <w:rPr>
                <w:rFonts w:hint="eastAsia" w:ascii="仿宋" w:hAnsi="仿宋" w:eastAsia="仿宋" w:cs="宋体"/>
                <w:b w:val="0"/>
                <w:bCs w:val="0"/>
                <w:color w:val="auto"/>
                <w:kern w:val="0"/>
                <w:sz w:val="24"/>
                <w:szCs w:val="24"/>
                <w:highlight w:val="none"/>
                <w:lang w:val="en-US" w:eastAsia="zh-CN" w:bidi="ar-SA"/>
              </w:rPr>
            </w:pPr>
            <w:bookmarkStart w:id="26" w:name="OLE_LINK25" w:colFirst="2" w:colLast="3"/>
            <w:r>
              <w:rPr>
                <w:rFonts w:hint="eastAsia" w:ascii="仿宋" w:hAnsi="仿宋" w:eastAsia="仿宋" w:cs="仿宋"/>
                <w:b w:val="0"/>
                <w:bCs w:val="0"/>
                <w:i w:val="0"/>
                <w:color w:val="auto"/>
                <w:kern w:val="0"/>
                <w:sz w:val="24"/>
                <w:szCs w:val="24"/>
                <w:highlight w:val="none"/>
                <w:u w:val="none"/>
                <w:lang w:val="en-US" w:eastAsia="zh-CN" w:bidi="ar"/>
              </w:rPr>
              <w:t>4</w:t>
            </w:r>
          </w:p>
        </w:tc>
        <w:tc>
          <w:tcPr>
            <w:tcW w:w="969" w:type="dxa"/>
            <w:vMerge w:val="continue"/>
            <w:noWrap w:val="0"/>
            <w:vAlign w:val="center"/>
          </w:tcPr>
          <w:p w14:paraId="2C84F743">
            <w:pPr>
              <w:widowControl/>
              <w:jc w:val="center"/>
              <w:rPr>
                <w:rFonts w:hint="eastAsia" w:ascii="宋体" w:hAnsi="宋体" w:eastAsia="宋体" w:cs="宋体"/>
                <w:b w:val="0"/>
                <w:bCs w:val="0"/>
                <w:color w:val="auto"/>
                <w:kern w:val="0"/>
                <w:sz w:val="24"/>
                <w:szCs w:val="24"/>
                <w:highlight w:val="none"/>
              </w:rPr>
            </w:pPr>
          </w:p>
        </w:tc>
        <w:tc>
          <w:tcPr>
            <w:tcW w:w="6301" w:type="dxa"/>
            <w:shd w:val="clear" w:color="auto" w:fill="auto"/>
            <w:noWrap w:val="0"/>
            <w:vAlign w:val="center"/>
          </w:tcPr>
          <w:p w14:paraId="1A136A4F">
            <w:pPr>
              <w:widowControl/>
              <w:jc w:val="left"/>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rPr>
              <w:t>开评标日前（不含开评标当日）未及时完成开评标场地预约的；预先抢占开评标场地而未安排开评标的；项目开评标取消、</w:t>
            </w:r>
            <w:r>
              <w:rPr>
                <w:rFonts w:hint="eastAsia" w:ascii="宋体" w:hAnsi="宋体" w:eastAsia="宋体" w:cs="宋体"/>
                <w:b w:val="0"/>
                <w:bCs w:val="0"/>
                <w:color w:val="auto"/>
                <w:kern w:val="0"/>
                <w:sz w:val="24"/>
                <w:szCs w:val="24"/>
                <w:highlight w:val="none"/>
                <w:lang w:val="en-US" w:eastAsia="zh-CN"/>
              </w:rPr>
              <w:t>变更</w:t>
            </w:r>
            <w:r>
              <w:rPr>
                <w:rFonts w:hint="eastAsia" w:ascii="宋体" w:hAnsi="宋体" w:eastAsia="宋体" w:cs="宋体"/>
                <w:b w:val="0"/>
                <w:bCs w:val="0"/>
                <w:color w:val="auto"/>
                <w:kern w:val="0"/>
                <w:sz w:val="24"/>
                <w:szCs w:val="24"/>
                <w:highlight w:val="none"/>
              </w:rPr>
              <w:t>而未及时</w:t>
            </w:r>
            <w:r>
              <w:rPr>
                <w:rFonts w:hint="eastAsia" w:ascii="宋体" w:hAnsi="宋体" w:eastAsia="宋体" w:cs="宋体"/>
                <w:b w:val="0"/>
                <w:bCs w:val="0"/>
                <w:color w:val="auto"/>
                <w:kern w:val="0"/>
                <w:sz w:val="24"/>
                <w:szCs w:val="24"/>
                <w:highlight w:val="none"/>
                <w:lang w:val="en-US" w:eastAsia="zh-CN"/>
              </w:rPr>
              <w:t>进行</w:t>
            </w:r>
            <w:r>
              <w:rPr>
                <w:rFonts w:hint="eastAsia" w:ascii="宋体" w:hAnsi="宋体" w:eastAsia="宋体" w:cs="宋体"/>
                <w:b w:val="0"/>
                <w:bCs w:val="0"/>
                <w:color w:val="auto"/>
                <w:kern w:val="0"/>
                <w:sz w:val="24"/>
                <w:szCs w:val="24"/>
                <w:highlight w:val="none"/>
              </w:rPr>
              <w:t>开评标场地取消、变更</w:t>
            </w:r>
            <w:r>
              <w:rPr>
                <w:rFonts w:hint="eastAsia" w:ascii="宋体" w:hAnsi="宋体" w:eastAsia="宋体" w:cs="宋体"/>
                <w:b w:val="0"/>
                <w:bCs w:val="0"/>
                <w:color w:val="auto"/>
                <w:spacing w:val="-4"/>
                <w:sz w:val="24"/>
                <w:szCs w:val="24"/>
                <w:highlight w:val="none"/>
              </w:rPr>
              <w:t>造成不良影响的</w:t>
            </w:r>
            <w:r>
              <w:rPr>
                <w:rFonts w:hint="eastAsia" w:ascii="宋体" w:hAnsi="宋体" w:eastAsia="宋体" w:cs="宋体"/>
                <w:b w:val="0"/>
                <w:bCs w:val="0"/>
                <w:color w:val="auto"/>
                <w:spacing w:val="-4"/>
                <w:sz w:val="24"/>
                <w:szCs w:val="24"/>
                <w:highlight w:val="none"/>
                <w:lang w:eastAsia="zh-CN"/>
              </w:rPr>
              <w:t>；</w:t>
            </w:r>
            <w:r>
              <w:rPr>
                <w:rFonts w:hint="eastAsia" w:ascii="宋体" w:hAnsi="宋体" w:eastAsia="宋体" w:cs="宋体"/>
                <w:b w:val="0"/>
                <w:bCs w:val="0"/>
                <w:color w:val="auto"/>
                <w:spacing w:val="-4"/>
                <w:sz w:val="24"/>
                <w:szCs w:val="24"/>
                <w:highlight w:val="none"/>
                <w:lang w:val="en-US" w:eastAsia="zh-CN"/>
              </w:rPr>
              <w:t>项目开评标结束而未及时在系统中填报结束时间的</w:t>
            </w:r>
            <w:r>
              <w:rPr>
                <w:rFonts w:hint="eastAsia" w:ascii="宋体" w:hAnsi="宋体" w:eastAsia="宋体" w:cs="宋体"/>
                <w:b w:val="0"/>
                <w:bCs w:val="0"/>
                <w:color w:val="auto"/>
                <w:kern w:val="0"/>
                <w:sz w:val="24"/>
                <w:szCs w:val="24"/>
                <w:highlight w:val="none"/>
              </w:rPr>
              <w:t>。</w:t>
            </w:r>
          </w:p>
        </w:tc>
        <w:tc>
          <w:tcPr>
            <w:tcW w:w="998" w:type="dxa"/>
            <w:shd w:val="clear" w:color="auto" w:fill="auto"/>
            <w:noWrap w:val="0"/>
            <w:vAlign w:val="center"/>
          </w:tcPr>
          <w:p w14:paraId="446098B7">
            <w:pPr>
              <w:widowControl/>
              <w:jc w:val="center"/>
              <w:rPr>
                <w:rFonts w:hint="default" w:ascii="宋体" w:hAnsi="宋体" w:cs="宋体" w:eastAsiaTheme="minorEastAsia"/>
                <w:b w:val="0"/>
                <w:bCs w:val="0"/>
                <w:color w:val="auto"/>
                <w:kern w:val="0"/>
                <w:sz w:val="24"/>
                <w:szCs w:val="24"/>
                <w:highlight w:val="none"/>
                <w:lang w:val="en-US" w:eastAsia="zh-CN" w:bidi="ar-SA"/>
              </w:rPr>
            </w:pPr>
            <w:r>
              <w:rPr>
                <w:rFonts w:hint="eastAsia" w:ascii="宋体" w:hAnsi="宋体" w:cs="宋体"/>
                <w:b w:val="0"/>
                <w:bCs w:val="0"/>
                <w:color w:val="auto"/>
                <w:kern w:val="0"/>
                <w:sz w:val="24"/>
                <w:szCs w:val="24"/>
                <w:highlight w:val="none"/>
                <w:lang w:val="en-US" w:eastAsia="zh-CN"/>
              </w:rPr>
              <w:t>2分</w:t>
            </w:r>
          </w:p>
        </w:tc>
      </w:tr>
      <w:bookmarkEnd w:id="26"/>
      <w:tr w14:paraId="5B305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88" w:type="dxa"/>
            <w:noWrap w:val="0"/>
            <w:vAlign w:val="center"/>
          </w:tcPr>
          <w:p w14:paraId="4E36B952">
            <w:pPr>
              <w:keepNext w:val="0"/>
              <w:keepLines w:val="0"/>
              <w:widowControl/>
              <w:suppressLineNumbers w:val="0"/>
              <w:jc w:val="center"/>
              <w:textAlignment w:val="center"/>
              <w:rPr>
                <w:rFonts w:hint="eastAsia" w:ascii="仿宋" w:hAnsi="仿宋" w:eastAsia="仿宋" w:cs="宋体"/>
                <w:b w:val="0"/>
                <w:bCs w:val="0"/>
                <w:color w:val="auto"/>
                <w:kern w:val="0"/>
                <w:sz w:val="24"/>
                <w:szCs w:val="24"/>
                <w:highlight w:val="none"/>
                <w:lang w:val="en-US" w:eastAsia="zh-CN" w:bidi="ar-SA"/>
              </w:rPr>
            </w:pPr>
            <w:bookmarkStart w:id="27" w:name="OLE_LINK21" w:colFirst="2" w:colLast="3"/>
            <w:r>
              <w:rPr>
                <w:rFonts w:hint="eastAsia" w:ascii="仿宋" w:hAnsi="仿宋" w:eastAsia="仿宋" w:cs="仿宋"/>
                <w:b w:val="0"/>
                <w:bCs w:val="0"/>
                <w:i w:val="0"/>
                <w:color w:val="auto"/>
                <w:kern w:val="0"/>
                <w:sz w:val="24"/>
                <w:szCs w:val="24"/>
                <w:highlight w:val="none"/>
                <w:u w:val="none"/>
                <w:lang w:val="en-US" w:eastAsia="zh-CN" w:bidi="ar"/>
              </w:rPr>
              <w:t>5</w:t>
            </w:r>
          </w:p>
        </w:tc>
        <w:tc>
          <w:tcPr>
            <w:tcW w:w="969" w:type="dxa"/>
            <w:vMerge w:val="continue"/>
            <w:noWrap w:val="0"/>
            <w:vAlign w:val="center"/>
          </w:tcPr>
          <w:p w14:paraId="335AA19F">
            <w:pPr>
              <w:widowControl/>
              <w:jc w:val="center"/>
              <w:rPr>
                <w:rFonts w:hint="eastAsia" w:ascii="宋体" w:hAnsi="宋体" w:eastAsia="宋体" w:cs="宋体"/>
                <w:b w:val="0"/>
                <w:bCs w:val="0"/>
                <w:color w:val="auto"/>
                <w:kern w:val="0"/>
                <w:sz w:val="24"/>
                <w:szCs w:val="24"/>
                <w:highlight w:val="none"/>
              </w:rPr>
            </w:pPr>
          </w:p>
        </w:tc>
        <w:tc>
          <w:tcPr>
            <w:tcW w:w="6301" w:type="dxa"/>
            <w:shd w:val="clear" w:color="auto" w:fill="auto"/>
            <w:noWrap w:val="0"/>
            <w:vAlign w:val="center"/>
          </w:tcPr>
          <w:p w14:paraId="1E13BFCE">
            <w:pPr>
              <w:widowControl/>
              <w:jc w:val="left"/>
              <w:rPr>
                <w:rFonts w:hint="default"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rPr>
              <w:t>未及时抽取</w:t>
            </w:r>
            <w:r>
              <w:rPr>
                <w:rFonts w:hint="eastAsia" w:ascii="宋体" w:hAnsi="宋体" w:eastAsia="宋体" w:cs="宋体"/>
                <w:b w:val="0"/>
                <w:bCs w:val="0"/>
                <w:color w:val="auto"/>
                <w:kern w:val="0"/>
                <w:sz w:val="24"/>
                <w:szCs w:val="24"/>
                <w:highlight w:val="none"/>
                <w:lang w:val="en-US" w:eastAsia="zh-CN"/>
              </w:rPr>
              <w:t>评标（评审）专家</w:t>
            </w:r>
            <w:r>
              <w:rPr>
                <w:rFonts w:hint="eastAsia" w:ascii="宋体" w:hAnsi="宋体" w:eastAsia="宋体" w:cs="宋体"/>
                <w:b w:val="0"/>
                <w:bCs w:val="0"/>
                <w:color w:val="auto"/>
                <w:kern w:val="0"/>
                <w:sz w:val="24"/>
                <w:szCs w:val="24"/>
                <w:highlight w:val="none"/>
              </w:rPr>
              <w:t>或未按规定采集招标人代表信息，影响项目评标进度的</w:t>
            </w:r>
            <w:r>
              <w:rPr>
                <w:rFonts w:hint="eastAsia" w:ascii="宋体" w:hAnsi="宋体" w:eastAsia="宋体" w:cs="宋体"/>
                <w:b w:val="0"/>
                <w:bCs w:val="0"/>
                <w:color w:val="auto"/>
                <w:kern w:val="0"/>
                <w:sz w:val="24"/>
                <w:szCs w:val="24"/>
                <w:highlight w:val="none"/>
                <w:lang w:eastAsia="zh-CN"/>
              </w:rPr>
              <w:t>。</w:t>
            </w:r>
          </w:p>
        </w:tc>
        <w:tc>
          <w:tcPr>
            <w:tcW w:w="998" w:type="dxa"/>
            <w:shd w:val="clear" w:color="auto" w:fill="auto"/>
            <w:noWrap w:val="0"/>
            <w:vAlign w:val="center"/>
          </w:tcPr>
          <w:p w14:paraId="5EA36EDB">
            <w:pPr>
              <w:widowControl/>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1分</w:t>
            </w:r>
          </w:p>
        </w:tc>
      </w:tr>
      <w:bookmarkEnd w:id="27"/>
      <w:tr w14:paraId="2DB41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88" w:type="dxa"/>
            <w:noWrap w:val="0"/>
            <w:vAlign w:val="center"/>
          </w:tcPr>
          <w:p w14:paraId="001399D7">
            <w:pPr>
              <w:keepNext w:val="0"/>
              <w:keepLines w:val="0"/>
              <w:widowControl/>
              <w:suppressLineNumbers w:val="0"/>
              <w:jc w:val="center"/>
              <w:textAlignment w:val="center"/>
              <w:rPr>
                <w:rFonts w:hint="eastAsia" w:ascii="仿宋" w:hAnsi="仿宋" w:eastAsia="仿宋" w:cs="宋体"/>
                <w:b w:val="0"/>
                <w:bCs w:val="0"/>
                <w:color w:val="auto"/>
                <w:kern w:val="0"/>
                <w:sz w:val="24"/>
                <w:szCs w:val="24"/>
                <w:highlight w:val="none"/>
                <w:lang w:val="en-US" w:eastAsia="zh-CN" w:bidi="ar-SA"/>
              </w:rPr>
            </w:pPr>
            <w:bookmarkStart w:id="28" w:name="OLE_LINK23" w:colFirst="2" w:colLast="3"/>
            <w:r>
              <w:rPr>
                <w:rFonts w:hint="eastAsia" w:ascii="仿宋" w:hAnsi="仿宋" w:eastAsia="仿宋" w:cs="仿宋"/>
                <w:b w:val="0"/>
                <w:bCs w:val="0"/>
                <w:i w:val="0"/>
                <w:color w:val="auto"/>
                <w:kern w:val="0"/>
                <w:sz w:val="24"/>
                <w:szCs w:val="24"/>
                <w:highlight w:val="none"/>
                <w:u w:val="none"/>
                <w:lang w:val="en-US" w:eastAsia="zh-CN" w:bidi="ar"/>
              </w:rPr>
              <w:t>6</w:t>
            </w:r>
          </w:p>
        </w:tc>
        <w:tc>
          <w:tcPr>
            <w:tcW w:w="969" w:type="dxa"/>
            <w:vMerge w:val="continue"/>
            <w:noWrap w:val="0"/>
            <w:vAlign w:val="center"/>
          </w:tcPr>
          <w:p w14:paraId="4586E88A">
            <w:pPr>
              <w:widowControl/>
              <w:jc w:val="center"/>
              <w:rPr>
                <w:rFonts w:hint="eastAsia" w:ascii="宋体" w:hAnsi="宋体" w:eastAsia="宋体" w:cs="宋体"/>
                <w:b w:val="0"/>
                <w:bCs w:val="0"/>
                <w:color w:val="auto"/>
                <w:kern w:val="0"/>
                <w:sz w:val="24"/>
                <w:szCs w:val="24"/>
                <w:highlight w:val="none"/>
              </w:rPr>
            </w:pPr>
          </w:p>
        </w:tc>
        <w:tc>
          <w:tcPr>
            <w:tcW w:w="6301" w:type="dxa"/>
            <w:shd w:val="clear" w:color="auto" w:fill="auto"/>
            <w:noWrap w:val="0"/>
            <w:vAlign w:val="center"/>
          </w:tcPr>
          <w:p w14:paraId="4D702E14">
            <w:pPr>
              <w:widowControl/>
              <w:jc w:val="left"/>
              <w:rPr>
                <w:rFonts w:hint="default"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rPr>
              <w:t>开评标</w:t>
            </w:r>
            <w:r>
              <w:rPr>
                <w:rFonts w:hint="eastAsia" w:ascii="宋体" w:hAnsi="宋体" w:eastAsia="宋体" w:cs="宋体"/>
                <w:b w:val="0"/>
                <w:bCs w:val="0"/>
                <w:color w:val="auto"/>
                <w:kern w:val="0"/>
                <w:sz w:val="24"/>
                <w:szCs w:val="24"/>
                <w:highlight w:val="none"/>
              </w:rPr>
              <w:t>专职人员与委托代理合同中的专职人员</w:t>
            </w:r>
            <w:r>
              <w:rPr>
                <w:rFonts w:hint="eastAsia" w:ascii="宋体" w:hAnsi="宋体" w:eastAsia="宋体" w:cs="宋体"/>
                <w:b w:val="0"/>
                <w:bCs w:val="0"/>
                <w:color w:val="auto"/>
                <w:kern w:val="0"/>
                <w:sz w:val="24"/>
                <w:szCs w:val="24"/>
                <w:highlight w:val="none"/>
              </w:rPr>
              <w:t>不</w:t>
            </w:r>
            <w:r>
              <w:rPr>
                <w:rFonts w:hint="eastAsia" w:ascii="宋体" w:hAnsi="宋体" w:eastAsia="宋体" w:cs="宋体"/>
                <w:b w:val="0"/>
                <w:bCs w:val="0"/>
                <w:color w:val="auto"/>
                <w:kern w:val="0"/>
                <w:sz w:val="24"/>
                <w:szCs w:val="24"/>
                <w:highlight w:val="none"/>
                <w:lang w:val="en-US" w:eastAsia="zh-CN"/>
              </w:rPr>
              <w:t>符</w:t>
            </w:r>
            <w:r>
              <w:rPr>
                <w:rFonts w:hint="eastAsia" w:ascii="宋体" w:hAnsi="宋体" w:eastAsia="宋体" w:cs="宋体"/>
                <w:b w:val="0"/>
                <w:bCs w:val="0"/>
                <w:color w:val="auto"/>
                <w:kern w:val="0"/>
                <w:sz w:val="24"/>
                <w:szCs w:val="24"/>
                <w:highlight w:val="none"/>
              </w:rPr>
              <w:t>的</w:t>
            </w:r>
            <w:r>
              <w:rPr>
                <w:rFonts w:hint="eastAsia" w:ascii="宋体" w:hAnsi="宋体" w:eastAsia="宋体" w:cs="宋体"/>
                <w:b w:val="0"/>
                <w:bCs w:val="0"/>
                <w:color w:val="auto"/>
                <w:kern w:val="0"/>
                <w:sz w:val="24"/>
                <w:szCs w:val="24"/>
                <w:highlight w:val="none"/>
                <w:lang w:eastAsia="zh-CN"/>
              </w:rPr>
              <w:t>。</w:t>
            </w:r>
          </w:p>
        </w:tc>
        <w:tc>
          <w:tcPr>
            <w:tcW w:w="998" w:type="dxa"/>
            <w:shd w:val="clear" w:color="auto" w:fill="auto"/>
            <w:noWrap w:val="0"/>
            <w:vAlign w:val="center"/>
          </w:tcPr>
          <w:p w14:paraId="655FFD67">
            <w:pPr>
              <w:widowControl/>
              <w:jc w:val="center"/>
              <w:rPr>
                <w:rFonts w:hint="default"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2分</w:t>
            </w:r>
          </w:p>
        </w:tc>
      </w:tr>
      <w:bookmarkEnd w:id="28"/>
      <w:tr w14:paraId="37273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88" w:type="dxa"/>
            <w:noWrap w:val="0"/>
            <w:vAlign w:val="center"/>
          </w:tcPr>
          <w:p w14:paraId="07AB54EC">
            <w:pPr>
              <w:keepNext w:val="0"/>
              <w:keepLines w:val="0"/>
              <w:widowControl/>
              <w:suppressLineNumbers w:val="0"/>
              <w:jc w:val="center"/>
              <w:textAlignment w:val="center"/>
              <w:rPr>
                <w:rFonts w:hint="eastAsia" w:ascii="仿宋" w:hAnsi="仿宋" w:eastAsia="仿宋" w:cs="仿宋"/>
                <w:b w:val="0"/>
                <w:bCs w:val="0"/>
                <w:i w:val="0"/>
                <w:color w:val="auto"/>
                <w:kern w:val="0"/>
                <w:sz w:val="24"/>
                <w:szCs w:val="24"/>
                <w:highlight w:val="none"/>
                <w:u w:val="none"/>
                <w:lang w:val="en-US" w:eastAsia="zh-CN" w:bidi="ar"/>
              </w:rPr>
            </w:pPr>
            <w:bookmarkStart w:id="29" w:name="OLE_LINK24" w:colFirst="2" w:colLast="3"/>
            <w:r>
              <w:rPr>
                <w:rFonts w:hint="eastAsia" w:ascii="仿宋" w:hAnsi="仿宋" w:eastAsia="仿宋" w:cs="仿宋"/>
                <w:b w:val="0"/>
                <w:bCs w:val="0"/>
                <w:i w:val="0"/>
                <w:color w:val="auto"/>
                <w:kern w:val="0"/>
                <w:sz w:val="24"/>
                <w:szCs w:val="24"/>
                <w:highlight w:val="none"/>
                <w:u w:val="none"/>
                <w:lang w:val="en-US" w:eastAsia="zh-CN" w:bidi="ar"/>
              </w:rPr>
              <w:t>7</w:t>
            </w:r>
          </w:p>
        </w:tc>
        <w:tc>
          <w:tcPr>
            <w:tcW w:w="969" w:type="dxa"/>
            <w:vMerge w:val="continue"/>
            <w:noWrap w:val="0"/>
            <w:vAlign w:val="center"/>
          </w:tcPr>
          <w:p w14:paraId="7EBD5918">
            <w:pPr>
              <w:widowControl/>
              <w:jc w:val="center"/>
              <w:rPr>
                <w:rFonts w:ascii="仿宋" w:hAnsi="仿宋" w:eastAsia="仿宋" w:cs="宋体"/>
                <w:b w:val="0"/>
                <w:bCs w:val="0"/>
                <w:color w:val="auto"/>
                <w:kern w:val="0"/>
                <w:sz w:val="24"/>
                <w:szCs w:val="24"/>
                <w:highlight w:val="none"/>
              </w:rPr>
            </w:pPr>
          </w:p>
        </w:tc>
        <w:tc>
          <w:tcPr>
            <w:tcW w:w="6301" w:type="dxa"/>
            <w:shd w:val="clear" w:color="auto" w:fill="auto"/>
            <w:noWrap w:val="0"/>
            <w:vAlign w:val="center"/>
          </w:tcPr>
          <w:p w14:paraId="3D55318C">
            <w:pPr>
              <w:widowControl/>
              <w:jc w:val="left"/>
              <w:rPr>
                <w:rFonts w:hint="eastAsia" w:ascii="宋体" w:hAnsi="宋体" w:eastAsia="宋体" w:cs="宋体"/>
                <w:b w:val="0"/>
                <w:bCs w:val="0"/>
                <w:color w:val="auto"/>
                <w:kern w:val="0"/>
                <w:sz w:val="24"/>
                <w:szCs w:val="24"/>
                <w:highlight w:val="none"/>
                <w:lang w:val="en-US" w:eastAsia="zh-CN" w:bidi="ar-SA"/>
              </w:rPr>
            </w:pPr>
            <w:bookmarkStart w:id="30" w:name="OLE_LINK39"/>
            <w:r>
              <w:rPr>
                <w:rFonts w:hint="eastAsia" w:ascii="宋体" w:hAnsi="宋体" w:eastAsia="宋体" w:cs="宋体"/>
                <w:b w:val="0"/>
                <w:bCs w:val="0"/>
                <w:color w:val="auto"/>
                <w:kern w:val="0"/>
                <w:sz w:val="24"/>
                <w:szCs w:val="24"/>
                <w:highlight w:val="none"/>
                <w:lang w:val="en-US" w:eastAsia="zh-CN"/>
              </w:rPr>
              <w:t>代理机构工作人员</w:t>
            </w:r>
            <w:r>
              <w:rPr>
                <w:rFonts w:hint="eastAsia" w:ascii="宋体" w:hAnsi="宋体" w:eastAsia="宋体" w:cs="宋体"/>
                <w:b w:val="0"/>
                <w:bCs w:val="0"/>
                <w:color w:val="auto"/>
                <w:kern w:val="0"/>
                <w:sz w:val="24"/>
                <w:szCs w:val="24"/>
                <w:highlight w:val="none"/>
              </w:rPr>
              <w:t>未</w:t>
            </w:r>
            <w:r>
              <w:rPr>
                <w:rFonts w:hint="eastAsia" w:ascii="宋体" w:hAnsi="宋体" w:eastAsia="宋体" w:cs="宋体"/>
                <w:b w:val="0"/>
                <w:bCs w:val="0"/>
                <w:color w:val="auto"/>
                <w:kern w:val="0"/>
                <w:sz w:val="24"/>
                <w:szCs w:val="24"/>
                <w:highlight w:val="none"/>
                <w:lang w:val="en-US" w:eastAsia="zh-CN"/>
              </w:rPr>
              <w:t>按时</w:t>
            </w:r>
            <w:r>
              <w:rPr>
                <w:rFonts w:hint="eastAsia" w:ascii="宋体" w:hAnsi="宋体" w:eastAsia="宋体" w:cs="宋体"/>
                <w:b w:val="0"/>
                <w:bCs w:val="0"/>
                <w:color w:val="auto"/>
                <w:kern w:val="0"/>
                <w:sz w:val="24"/>
                <w:szCs w:val="24"/>
                <w:highlight w:val="none"/>
              </w:rPr>
              <w:t>出席</w:t>
            </w:r>
            <w:r>
              <w:rPr>
                <w:rFonts w:hint="eastAsia" w:ascii="宋体" w:hAnsi="宋体" w:cs="宋体"/>
                <w:b w:val="0"/>
                <w:bCs w:val="0"/>
                <w:color w:val="auto"/>
                <w:kern w:val="0"/>
                <w:sz w:val="24"/>
                <w:szCs w:val="24"/>
                <w:highlight w:val="none"/>
                <w:lang w:val="en-US" w:eastAsia="zh-CN"/>
              </w:rPr>
              <w:t>项目开标评标活动的。</w:t>
            </w:r>
            <w:bookmarkEnd w:id="30"/>
          </w:p>
        </w:tc>
        <w:tc>
          <w:tcPr>
            <w:tcW w:w="998" w:type="dxa"/>
            <w:shd w:val="clear" w:color="auto" w:fill="auto"/>
            <w:noWrap w:val="0"/>
            <w:vAlign w:val="center"/>
          </w:tcPr>
          <w:p w14:paraId="41976729">
            <w:pPr>
              <w:widowControl/>
              <w:jc w:val="center"/>
              <w:rPr>
                <w:rFonts w:hint="default" w:ascii="宋体" w:hAnsi="宋体" w:eastAsia="宋体" w:cs="宋体"/>
                <w:b w:val="0"/>
                <w:bCs w:val="0"/>
                <w:color w:val="auto"/>
                <w:kern w:val="0"/>
                <w:sz w:val="24"/>
                <w:szCs w:val="24"/>
                <w:highlight w:val="none"/>
                <w:lang w:val="en-US" w:eastAsia="zh-CN" w:bidi="ar-SA"/>
              </w:rPr>
            </w:pPr>
            <w:r>
              <w:rPr>
                <w:rFonts w:hint="eastAsia" w:ascii="宋体" w:hAnsi="宋体" w:cs="宋体"/>
                <w:b w:val="0"/>
                <w:bCs w:val="0"/>
                <w:color w:val="auto"/>
                <w:kern w:val="0"/>
                <w:sz w:val="24"/>
                <w:szCs w:val="24"/>
                <w:highlight w:val="none"/>
                <w:lang w:val="en-US" w:eastAsia="zh-CN"/>
              </w:rPr>
              <w:t>2分</w:t>
            </w:r>
          </w:p>
        </w:tc>
      </w:tr>
      <w:tr w14:paraId="693EF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88" w:type="dxa"/>
            <w:noWrap w:val="0"/>
            <w:vAlign w:val="center"/>
          </w:tcPr>
          <w:p w14:paraId="11C4EB02">
            <w:pPr>
              <w:keepNext w:val="0"/>
              <w:keepLines w:val="0"/>
              <w:widowControl/>
              <w:suppressLineNumbers w:val="0"/>
              <w:jc w:val="center"/>
              <w:textAlignment w:val="center"/>
              <w:rPr>
                <w:rFonts w:hint="eastAsia" w:ascii="仿宋" w:hAnsi="仿宋" w:eastAsia="仿宋" w:cs="仿宋"/>
                <w:b w:val="0"/>
                <w:bCs w:val="0"/>
                <w:i w:val="0"/>
                <w:color w:val="auto"/>
                <w:kern w:val="0"/>
                <w:sz w:val="24"/>
                <w:szCs w:val="24"/>
                <w:highlight w:val="none"/>
                <w:u w:val="none"/>
                <w:lang w:val="en-US" w:eastAsia="zh-CN" w:bidi="ar"/>
              </w:rPr>
            </w:pPr>
            <w:r>
              <w:rPr>
                <w:rFonts w:hint="eastAsia" w:ascii="仿宋" w:hAnsi="仿宋" w:eastAsia="仿宋" w:cs="仿宋"/>
                <w:b w:val="0"/>
                <w:bCs w:val="0"/>
                <w:i w:val="0"/>
                <w:color w:val="auto"/>
                <w:kern w:val="0"/>
                <w:sz w:val="24"/>
                <w:szCs w:val="24"/>
                <w:highlight w:val="none"/>
                <w:u w:val="none"/>
                <w:lang w:val="en-US" w:eastAsia="zh-CN" w:bidi="ar"/>
              </w:rPr>
              <w:t>8</w:t>
            </w:r>
          </w:p>
        </w:tc>
        <w:tc>
          <w:tcPr>
            <w:tcW w:w="969" w:type="dxa"/>
            <w:vMerge w:val="continue"/>
            <w:noWrap w:val="0"/>
            <w:vAlign w:val="center"/>
          </w:tcPr>
          <w:p w14:paraId="2BBDC43E">
            <w:pPr>
              <w:widowControl/>
              <w:jc w:val="center"/>
              <w:rPr>
                <w:rFonts w:ascii="仿宋" w:hAnsi="仿宋" w:eastAsia="仿宋" w:cs="宋体"/>
                <w:b w:val="0"/>
                <w:bCs w:val="0"/>
                <w:color w:val="auto"/>
                <w:kern w:val="0"/>
                <w:sz w:val="24"/>
                <w:szCs w:val="24"/>
                <w:highlight w:val="none"/>
              </w:rPr>
            </w:pPr>
          </w:p>
        </w:tc>
        <w:tc>
          <w:tcPr>
            <w:tcW w:w="6301" w:type="dxa"/>
            <w:shd w:val="clear" w:color="auto" w:fill="auto"/>
            <w:noWrap w:val="0"/>
            <w:vAlign w:val="center"/>
          </w:tcPr>
          <w:p w14:paraId="07A8C693">
            <w:pPr>
              <w:widowControl/>
              <w:jc w:val="left"/>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spacing w:val="-2"/>
                <w:sz w:val="24"/>
                <w:szCs w:val="24"/>
                <w:highlight w:val="none"/>
                <w:lang w:val="en-US" w:eastAsia="zh-CN"/>
              </w:rPr>
              <w:t>仪容仪表不整洁、穿奇装异服、拖鞋等进场的。</w:t>
            </w:r>
          </w:p>
        </w:tc>
        <w:tc>
          <w:tcPr>
            <w:tcW w:w="998" w:type="dxa"/>
            <w:shd w:val="clear" w:color="auto" w:fill="auto"/>
            <w:noWrap w:val="0"/>
            <w:vAlign w:val="center"/>
          </w:tcPr>
          <w:p w14:paraId="2600E981">
            <w:pPr>
              <w:widowControl/>
              <w:jc w:val="center"/>
              <w:rPr>
                <w:rFonts w:hint="default" w:ascii="宋体" w:hAnsi="宋体" w:eastAsia="宋体" w:cs="宋体"/>
                <w:b w:val="0"/>
                <w:bCs w:val="0"/>
                <w:color w:val="auto"/>
                <w:kern w:val="0"/>
                <w:sz w:val="24"/>
                <w:szCs w:val="24"/>
                <w:highlight w:val="none"/>
                <w:lang w:val="en-US" w:eastAsia="zh-CN" w:bidi="ar-SA"/>
              </w:rPr>
            </w:pPr>
            <w:r>
              <w:rPr>
                <w:rFonts w:hint="eastAsia" w:ascii="宋体" w:hAnsi="宋体" w:cs="宋体"/>
                <w:b w:val="0"/>
                <w:bCs w:val="0"/>
                <w:color w:val="auto"/>
                <w:kern w:val="0"/>
                <w:sz w:val="24"/>
                <w:szCs w:val="24"/>
                <w:highlight w:val="none"/>
                <w:lang w:val="en-US" w:eastAsia="zh-CN"/>
              </w:rPr>
              <w:t>1分</w:t>
            </w:r>
          </w:p>
        </w:tc>
      </w:tr>
      <w:tr w14:paraId="12A49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88" w:type="dxa"/>
            <w:noWrap w:val="0"/>
            <w:vAlign w:val="center"/>
          </w:tcPr>
          <w:p w14:paraId="6772A044">
            <w:pPr>
              <w:keepNext w:val="0"/>
              <w:keepLines w:val="0"/>
              <w:widowControl/>
              <w:suppressLineNumbers w:val="0"/>
              <w:jc w:val="center"/>
              <w:textAlignment w:val="center"/>
              <w:rPr>
                <w:rFonts w:hint="eastAsia" w:ascii="仿宋" w:hAnsi="仿宋" w:eastAsia="仿宋" w:cs="宋体"/>
                <w:b w:val="0"/>
                <w:bCs w:val="0"/>
                <w:color w:val="auto"/>
                <w:kern w:val="0"/>
                <w:sz w:val="24"/>
                <w:szCs w:val="24"/>
                <w:highlight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
              </w:rPr>
              <w:t>9</w:t>
            </w:r>
          </w:p>
        </w:tc>
        <w:tc>
          <w:tcPr>
            <w:tcW w:w="969" w:type="dxa"/>
            <w:vMerge w:val="continue"/>
            <w:noWrap w:val="0"/>
            <w:vAlign w:val="center"/>
          </w:tcPr>
          <w:p w14:paraId="2804B182">
            <w:pPr>
              <w:widowControl/>
              <w:jc w:val="center"/>
              <w:rPr>
                <w:rFonts w:ascii="仿宋" w:hAnsi="仿宋" w:eastAsia="仿宋" w:cs="宋体"/>
                <w:b w:val="0"/>
                <w:bCs w:val="0"/>
                <w:color w:val="auto"/>
                <w:kern w:val="0"/>
                <w:sz w:val="24"/>
                <w:szCs w:val="24"/>
                <w:highlight w:val="none"/>
              </w:rPr>
            </w:pPr>
          </w:p>
        </w:tc>
        <w:tc>
          <w:tcPr>
            <w:tcW w:w="6301" w:type="dxa"/>
            <w:shd w:val="clear" w:color="auto" w:fill="auto"/>
            <w:noWrap w:val="0"/>
            <w:vAlign w:val="center"/>
          </w:tcPr>
          <w:p w14:paraId="27F9A8C9">
            <w:pPr>
              <w:widowControl/>
              <w:jc w:val="left"/>
              <w:rPr>
                <w:rFonts w:hint="eastAsia" w:ascii="宋体" w:hAnsi="宋体" w:eastAsia="宋体" w:cs="宋体"/>
                <w:b w:val="0"/>
                <w:bCs w:val="0"/>
                <w:color w:val="auto"/>
                <w:kern w:val="0"/>
                <w:sz w:val="24"/>
                <w:szCs w:val="24"/>
                <w:highlight w:val="none"/>
                <w:lang w:val="en-US" w:eastAsia="zh-CN" w:bidi="ar-SA"/>
              </w:rPr>
            </w:pPr>
            <w:r>
              <w:rPr>
                <w:rFonts w:hint="eastAsia" w:ascii="宋体" w:hAnsi="宋体" w:cs="宋体"/>
                <w:b w:val="0"/>
                <w:bCs w:val="0"/>
                <w:color w:val="auto"/>
                <w:kern w:val="0"/>
                <w:sz w:val="24"/>
                <w:szCs w:val="24"/>
                <w:highlight w:val="none"/>
                <w:lang w:val="en-US" w:eastAsia="zh-CN"/>
              </w:rPr>
              <w:t>因工作失误，影响交易流程的；或需要系统变更数据的。</w:t>
            </w:r>
          </w:p>
        </w:tc>
        <w:tc>
          <w:tcPr>
            <w:tcW w:w="998" w:type="dxa"/>
            <w:shd w:val="clear" w:color="auto" w:fill="auto"/>
            <w:noWrap w:val="0"/>
            <w:vAlign w:val="center"/>
          </w:tcPr>
          <w:p w14:paraId="730957D2">
            <w:pPr>
              <w:widowControl/>
              <w:jc w:val="center"/>
              <w:rPr>
                <w:rFonts w:hint="default" w:ascii="宋体" w:hAnsi="宋体" w:eastAsia="宋体" w:cs="宋体"/>
                <w:b w:val="0"/>
                <w:bCs w:val="0"/>
                <w:color w:val="auto"/>
                <w:kern w:val="0"/>
                <w:sz w:val="24"/>
                <w:szCs w:val="24"/>
                <w:highlight w:val="none"/>
                <w:lang w:val="en-US" w:eastAsia="zh-CN" w:bidi="ar-SA"/>
              </w:rPr>
            </w:pPr>
            <w:r>
              <w:rPr>
                <w:rFonts w:hint="eastAsia" w:ascii="宋体" w:hAnsi="宋体" w:cs="宋体"/>
                <w:b w:val="0"/>
                <w:bCs w:val="0"/>
                <w:color w:val="auto"/>
                <w:kern w:val="0"/>
                <w:sz w:val="24"/>
                <w:szCs w:val="24"/>
                <w:highlight w:val="none"/>
                <w:lang w:val="en-US" w:eastAsia="zh-CN"/>
              </w:rPr>
              <w:t>2分</w:t>
            </w:r>
          </w:p>
        </w:tc>
      </w:tr>
      <w:tr w14:paraId="35079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88" w:type="dxa"/>
            <w:shd w:val="clear" w:color="auto" w:fill="auto"/>
            <w:noWrap w:val="0"/>
            <w:vAlign w:val="center"/>
          </w:tcPr>
          <w:p w14:paraId="00D84046">
            <w:pPr>
              <w:keepNext w:val="0"/>
              <w:keepLines w:val="0"/>
              <w:widowControl/>
              <w:suppressLineNumbers w:val="0"/>
              <w:jc w:val="center"/>
              <w:textAlignment w:val="center"/>
              <w:rPr>
                <w:rFonts w:hint="eastAsia" w:ascii="仿宋" w:hAnsi="仿宋" w:eastAsia="仿宋" w:cs="仿宋"/>
                <w:b w:val="0"/>
                <w:bCs w:val="0"/>
                <w:i w:val="0"/>
                <w:color w:val="auto"/>
                <w:kern w:val="0"/>
                <w:sz w:val="24"/>
                <w:szCs w:val="24"/>
                <w:highlight w:val="none"/>
                <w:u w:val="none"/>
                <w:lang w:val="en-US" w:eastAsia="zh-CN" w:bidi="ar"/>
              </w:rPr>
            </w:pPr>
            <w:bookmarkStart w:id="31" w:name="OLE_LINK26" w:colFirst="2" w:colLast="3"/>
            <w:r>
              <w:rPr>
                <w:rFonts w:hint="eastAsia" w:ascii="仿宋" w:hAnsi="仿宋" w:eastAsia="仿宋" w:cs="仿宋"/>
                <w:b w:val="0"/>
                <w:bCs w:val="0"/>
                <w:i w:val="0"/>
                <w:color w:val="auto"/>
                <w:kern w:val="0"/>
                <w:sz w:val="24"/>
                <w:szCs w:val="24"/>
                <w:highlight w:val="none"/>
                <w:u w:val="none"/>
                <w:lang w:val="en-US" w:eastAsia="zh-CN" w:bidi="ar"/>
              </w:rPr>
              <w:t>10</w:t>
            </w:r>
          </w:p>
        </w:tc>
        <w:tc>
          <w:tcPr>
            <w:tcW w:w="969" w:type="dxa"/>
            <w:vMerge w:val="continue"/>
            <w:noWrap w:val="0"/>
            <w:vAlign w:val="center"/>
          </w:tcPr>
          <w:p w14:paraId="42BA19D8">
            <w:pPr>
              <w:widowControl/>
              <w:jc w:val="center"/>
              <w:rPr>
                <w:rFonts w:ascii="仿宋" w:hAnsi="仿宋" w:eastAsia="仿宋" w:cs="宋体"/>
                <w:b w:val="0"/>
                <w:bCs w:val="0"/>
                <w:color w:val="auto"/>
                <w:kern w:val="0"/>
                <w:sz w:val="24"/>
                <w:szCs w:val="24"/>
                <w:highlight w:val="none"/>
              </w:rPr>
            </w:pPr>
          </w:p>
        </w:tc>
        <w:tc>
          <w:tcPr>
            <w:tcW w:w="6301" w:type="dxa"/>
            <w:shd w:val="clear" w:color="auto" w:fill="auto"/>
            <w:noWrap w:val="0"/>
            <w:vAlign w:val="center"/>
          </w:tcPr>
          <w:p w14:paraId="00120B9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cs="宋体"/>
                <w:b w:val="0"/>
                <w:bCs w:val="0"/>
                <w:color w:val="auto"/>
                <w:kern w:val="0"/>
                <w:sz w:val="24"/>
                <w:szCs w:val="24"/>
                <w:highlight w:val="none"/>
                <w:lang w:val="en-US" w:eastAsia="zh-CN"/>
              </w:rPr>
              <w:t>不规范使用场内设施、设备的，或因使用不当造成</w:t>
            </w:r>
            <w:r>
              <w:rPr>
                <w:rFonts w:hint="eastAsia" w:ascii="宋体" w:hAnsi="宋体" w:eastAsia="宋体" w:cs="宋体"/>
                <w:b w:val="0"/>
                <w:bCs w:val="0"/>
                <w:color w:val="auto"/>
                <w:kern w:val="0"/>
                <w:sz w:val="24"/>
                <w:szCs w:val="24"/>
                <w:highlight w:val="none"/>
              </w:rPr>
              <w:t>设施</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lang w:val="en-US" w:eastAsia="zh-CN"/>
              </w:rPr>
              <w:t>设备</w:t>
            </w:r>
            <w:r>
              <w:rPr>
                <w:rFonts w:hint="eastAsia" w:ascii="宋体" w:hAnsi="宋体" w:eastAsia="宋体" w:cs="宋体"/>
                <w:b w:val="0"/>
                <w:bCs w:val="0"/>
                <w:color w:val="auto"/>
                <w:kern w:val="0"/>
                <w:sz w:val="24"/>
                <w:szCs w:val="24"/>
                <w:highlight w:val="none"/>
              </w:rPr>
              <w:t>损坏</w:t>
            </w:r>
            <w:r>
              <w:rPr>
                <w:rFonts w:hint="eastAsia" w:ascii="宋体" w:hAnsi="宋体" w:cs="宋体"/>
                <w:b w:val="0"/>
                <w:bCs w:val="0"/>
                <w:color w:val="auto"/>
                <w:kern w:val="0"/>
                <w:sz w:val="24"/>
                <w:szCs w:val="24"/>
                <w:highlight w:val="none"/>
                <w:lang w:eastAsia="zh-CN"/>
              </w:rPr>
              <w:t>的</w:t>
            </w:r>
            <w:r>
              <w:rPr>
                <w:rFonts w:hint="eastAsia" w:ascii="宋体" w:hAnsi="宋体" w:eastAsia="宋体" w:cs="宋体"/>
                <w:b w:val="0"/>
                <w:bCs w:val="0"/>
                <w:color w:val="auto"/>
                <w:spacing w:val="-2"/>
                <w:sz w:val="24"/>
                <w:szCs w:val="24"/>
                <w:highlight w:val="none"/>
              </w:rPr>
              <w:t>。</w:t>
            </w:r>
          </w:p>
        </w:tc>
        <w:tc>
          <w:tcPr>
            <w:tcW w:w="998" w:type="dxa"/>
            <w:shd w:val="clear" w:color="auto" w:fill="auto"/>
            <w:noWrap w:val="0"/>
            <w:vAlign w:val="center"/>
          </w:tcPr>
          <w:p w14:paraId="4D5B371F">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cs="宋体" w:eastAsiaTheme="minorEastAsia"/>
                <w:b w:val="0"/>
                <w:bCs w:val="0"/>
                <w:color w:val="auto"/>
                <w:kern w:val="0"/>
                <w:sz w:val="24"/>
                <w:szCs w:val="24"/>
                <w:highlight w:val="none"/>
                <w:lang w:val="en-US" w:eastAsia="zh-CN" w:bidi="ar-SA"/>
              </w:rPr>
            </w:pPr>
            <w:r>
              <w:rPr>
                <w:rFonts w:hint="eastAsia" w:ascii="宋体" w:hAnsi="宋体" w:eastAsia="宋体" w:cs="宋体"/>
                <w:b w:val="0"/>
                <w:bCs w:val="0"/>
                <w:color w:val="auto"/>
                <w:spacing w:val="-6"/>
                <w:sz w:val="24"/>
                <w:szCs w:val="24"/>
                <w:highlight w:val="none"/>
                <w:lang w:val="en-US" w:eastAsia="zh-CN"/>
              </w:rPr>
              <w:t>3-10分</w:t>
            </w:r>
          </w:p>
        </w:tc>
      </w:tr>
      <w:bookmarkEnd w:id="29"/>
      <w:tr w14:paraId="22089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88" w:type="dxa"/>
            <w:shd w:val="clear" w:color="auto" w:fill="auto"/>
            <w:noWrap w:val="0"/>
            <w:vAlign w:val="center"/>
          </w:tcPr>
          <w:p w14:paraId="54F795D2">
            <w:pPr>
              <w:keepNext w:val="0"/>
              <w:keepLines w:val="0"/>
              <w:widowControl/>
              <w:suppressLineNumbers w:val="0"/>
              <w:jc w:val="center"/>
              <w:textAlignment w:val="center"/>
              <w:rPr>
                <w:rFonts w:hint="default" w:ascii="仿宋" w:hAnsi="仿宋" w:eastAsia="仿宋" w:cs="宋体"/>
                <w:b w:val="0"/>
                <w:bCs w:val="0"/>
                <w:color w:val="auto"/>
                <w:kern w:val="0"/>
                <w:sz w:val="24"/>
                <w:szCs w:val="24"/>
                <w:highlight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
              </w:rPr>
              <w:t>11</w:t>
            </w:r>
          </w:p>
        </w:tc>
        <w:tc>
          <w:tcPr>
            <w:tcW w:w="969" w:type="dxa"/>
            <w:vMerge w:val="continue"/>
            <w:noWrap w:val="0"/>
            <w:vAlign w:val="center"/>
          </w:tcPr>
          <w:p w14:paraId="160C9ACE">
            <w:pPr>
              <w:widowControl/>
              <w:jc w:val="center"/>
              <w:rPr>
                <w:rFonts w:ascii="仿宋" w:hAnsi="仿宋" w:eastAsia="仿宋" w:cs="宋体"/>
                <w:b w:val="0"/>
                <w:bCs w:val="0"/>
                <w:color w:val="auto"/>
                <w:kern w:val="0"/>
                <w:sz w:val="24"/>
                <w:szCs w:val="24"/>
                <w:highlight w:val="none"/>
              </w:rPr>
            </w:pPr>
          </w:p>
        </w:tc>
        <w:tc>
          <w:tcPr>
            <w:tcW w:w="6301" w:type="dxa"/>
            <w:shd w:val="clear" w:color="auto" w:fill="auto"/>
            <w:noWrap w:val="0"/>
            <w:vAlign w:val="center"/>
          </w:tcPr>
          <w:p w14:paraId="2F77705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default" w:ascii="宋体" w:hAnsi="宋体" w:eastAsia="宋体" w:cs="宋体"/>
                <w:b w:val="0"/>
                <w:bCs w:val="0"/>
                <w:color w:val="auto"/>
                <w:spacing w:val="8"/>
                <w:kern w:val="2"/>
                <w:sz w:val="24"/>
                <w:szCs w:val="24"/>
                <w:highlight w:val="none"/>
                <w:lang w:val="en-US" w:eastAsia="zh-CN" w:bidi="ar-SA"/>
              </w:rPr>
            </w:pPr>
            <w:r>
              <w:rPr>
                <w:rFonts w:hint="eastAsia" w:ascii="宋体" w:hAnsi="宋体" w:eastAsia="宋体" w:cs="宋体"/>
                <w:b w:val="0"/>
                <w:bCs w:val="0"/>
                <w:color w:val="auto"/>
                <w:spacing w:val="-2"/>
                <w:sz w:val="24"/>
                <w:szCs w:val="24"/>
                <w:highlight w:val="none"/>
                <w:lang w:val="en-US" w:eastAsia="zh-CN"/>
              </w:rPr>
              <w:t>未</w:t>
            </w:r>
            <w:r>
              <w:rPr>
                <w:rFonts w:hint="eastAsia" w:ascii="宋体" w:hAnsi="宋体" w:eastAsia="宋体" w:cs="宋体"/>
                <w:b w:val="0"/>
                <w:bCs w:val="0"/>
                <w:color w:val="auto"/>
                <w:spacing w:val="-2"/>
                <w:sz w:val="24"/>
                <w:szCs w:val="24"/>
                <w:highlight w:val="none"/>
              </w:rPr>
              <w:t>及时关闭开评标室的电脑、照明及空调等用电设备</w:t>
            </w:r>
            <w:r>
              <w:rPr>
                <w:rFonts w:hint="eastAsia" w:ascii="宋体" w:hAnsi="宋体" w:eastAsia="宋体" w:cs="宋体"/>
                <w:b w:val="0"/>
                <w:bCs w:val="0"/>
                <w:color w:val="auto"/>
                <w:spacing w:val="-2"/>
                <w:sz w:val="24"/>
                <w:szCs w:val="24"/>
                <w:highlight w:val="none"/>
                <w:lang w:eastAsia="zh-CN"/>
              </w:rPr>
              <w:t>的。</w:t>
            </w:r>
          </w:p>
        </w:tc>
        <w:tc>
          <w:tcPr>
            <w:tcW w:w="998" w:type="dxa"/>
            <w:shd w:val="clear" w:color="auto" w:fill="auto"/>
            <w:noWrap w:val="0"/>
            <w:vAlign w:val="center"/>
          </w:tcPr>
          <w:p w14:paraId="561DBD1B">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b w:val="0"/>
                <w:bCs w:val="0"/>
                <w:color w:val="auto"/>
                <w:spacing w:val="-6"/>
                <w:kern w:val="2"/>
                <w:sz w:val="24"/>
                <w:szCs w:val="24"/>
                <w:highlight w:val="none"/>
                <w:lang w:val="en-US" w:eastAsia="zh-CN" w:bidi="ar-SA"/>
              </w:rPr>
            </w:pPr>
            <w:r>
              <w:rPr>
                <w:rFonts w:hint="eastAsia" w:ascii="宋体" w:hAnsi="宋体" w:eastAsia="宋体" w:cs="宋体"/>
                <w:b w:val="0"/>
                <w:bCs w:val="0"/>
                <w:color w:val="auto"/>
                <w:spacing w:val="-6"/>
                <w:sz w:val="24"/>
                <w:szCs w:val="24"/>
                <w:highlight w:val="none"/>
                <w:lang w:val="en-US" w:eastAsia="zh-CN"/>
              </w:rPr>
              <w:t>1分</w:t>
            </w:r>
          </w:p>
        </w:tc>
      </w:tr>
      <w:tr w14:paraId="2C5B1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88" w:type="dxa"/>
            <w:shd w:val="clear" w:color="auto" w:fill="auto"/>
            <w:noWrap w:val="0"/>
            <w:vAlign w:val="center"/>
          </w:tcPr>
          <w:p w14:paraId="5CAE1CFA">
            <w:pPr>
              <w:keepNext w:val="0"/>
              <w:keepLines w:val="0"/>
              <w:widowControl/>
              <w:suppressLineNumbers w:val="0"/>
              <w:jc w:val="center"/>
              <w:textAlignment w:val="center"/>
              <w:rPr>
                <w:rFonts w:hint="eastAsia" w:ascii="仿宋" w:hAnsi="仿宋" w:eastAsia="仿宋" w:cs="宋体"/>
                <w:b w:val="0"/>
                <w:bCs w:val="0"/>
                <w:color w:val="auto"/>
                <w:kern w:val="0"/>
                <w:sz w:val="24"/>
                <w:szCs w:val="24"/>
                <w:highlight w:val="none"/>
                <w:lang w:val="en-US" w:eastAsia="zh-CN" w:bidi="ar-SA"/>
              </w:rPr>
            </w:pPr>
            <w:bookmarkStart w:id="32" w:name="OLE_LINK27" w:colFirst="2" w:colLast="3"/>
            <w:r>
              <w:rPr>
                <w:rFonts w:hint="eastAsia" w:ascii="仿宋" w:hAnsi="仿宋" w:eastAsia="仿宋" w:cs="仿宋"/>
                <w:b w:val="0"/>
                <w:bCs w:val="0"/>
                <w:i w:val="0"/>
                <w:color w:val="auto"/>
                <w:kern w:val="0"/>
                <w:sz w:val="24"/>
                <w:szCs w:val="24"/>
                <w:highlight w:val="none"/>
                <w:u w:val="none"/>
                <w:lang w:val="en-US" w:eastAsia="zh-CN" w:bidi="ar"/>
              </w:rPr>
              <w:t>12</w:t>
            </w:r>
          </w:p>
        </w:tc>
        <w:tc>
          <w:tcPr>
            <w:tcW w:w="969" w:type="dxa"/>
            <w:vMerge w:val="continue"/>
            <w:noWrap w:val="0"/>
            <w:vAlign w:val="center"/>
          </w:tcPr>
          <w:p w14:paraId="2E88EBDB">
            <w:pPr>
              <w:widowControl/>
              <w:jc w:val="center"/>
              <w:rPr>
                <w:rFonts w:ascii="仿宋" w:hAnsi="仿宋" w:eastAsia="仿宋" w:cs="宋体"/>
                <w:b w:val="0"/>
                <w:bCs w:val="0"/>
                <w:color w:val="auto"/>
                <w:kern w:val="0"/>
                <w:sz w:val="24"/>
                <w:szCs w:val="24"/>
                <w:highlight w:val="none"/>
              </w:rPr>
            </w:pPr>
          </w:p>
        </w:tc>
        <w:tc>
          <w:tcPr>
            <w:tcW w:w="6301" w:type="dxa"/>
            <w:shd w:val="clear" w:color="auto" w:fill="auto"/>
            <w:noWrap w:val="0"/>
            <w:vAlign w:val="center"/>
          </w:tcPr>
          <w:p w14:paraId="7F481AD1">
            <w:pPr>
              <w:widowControl/>
              <w:jc w:val="left"/>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rPr>
              <w:t>未按相关法律法规或交易中心进场交易规则设置投标保证金收取、退还规定的</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lang w:val="en-US" w:eastAsia="zh-CN"/>
              </w:rPr>
              <w:t>未及时申请退回投标保证金的</w:t>
            </w:r>
            <w:r>
              <w:rPr>
                <w:rFonts w:hint="eastAsia" w:ascii="宋体" w:hAnsi="宋体" w:cs="宋体"/>
                <w:b w:val="0"/>
                <w:bCs w:val="0"/>
                <w:color w:val="auto"/>
                <w:kern w:val="0"/>
                <w:sz w:val="24"/>
                <w:szCs w:val="24"/>
                <w:highlight w:val="none"/>
                <w:lang w:eastAsia="zh-CN"/>
              </w:rPr>
              <w:t>。</w:t>
            </w:r>
          </w:p>
        </w:tc>
        <w:tc>
          <w:tcPr>
            <w:tcW w:w="998" w:type="dxa"/>
            <w:shd w:val="clear" w:color="auto" w:fill="auto"/>
            <w:noWrap w:val="0"/>
            <w:vAlign w:val="center"/>
          </w:tcPr>
          <w:p w14:paraId="10341960">
            <w:pPr>
              <w:widowControl/>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cs="宋体"/>
                <w:b w:val="0"/>
                <w:bCs w:val="0"/>
                <w:color w:val="auto"/>
                <w:kern w:val="0"/>
                <w:sz w:val="24"/>
                <w:szCs w:val="24"/>
                <w:highlight w:val="none"/>
                <w:lang w:val="en-US" w:eastAsia="zh-CN"/>
              </w:rPr>
              <w:t>2分</w:t>
            </w:r>
          </w:p>
        </w:tc>
      </w:tr>
      <w:tr w14:paraId="3B407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88" w:type="dxa"/>
            <w:shd w:val="clear" w:color="auto" w:fill="auto"/>
            <w:noWrap w:val="0"/>
            <w:vAlign w:val="center"/>
          </w:tcPr>
          <w:p w14:paraId="55855830">
            <w:pPr>
              <w:keepNext w:val="0"/>
              <w:keepLines w:val="0"/>
              <w:widowControl/>
              <w:suppressLineNumbers w:val="0"/>
              <w:jc w:val="center"/>
              <w:textAlignment w:val="center"/>
              <w:rPr>
                <w:rFonts w:hint="eastAsia" w:ascii="仿宋" w:hAnsi="仿宋" w:eastAsia="仿宋" w:cs="宋体"/>
                <w:b w:val="0"/>
                <w:bCs w:val="0"/>
                <w:color w:val="auto"/>
                <w:kern w:val="0"/>
                <w:sz w:val="24"/>
                <w:szCs w:val="24"/>
                <w:highlight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
              </w:rPr>
              <w:t>13</w:t>
            </w:r>
          </w:p>
        </w:tc>
        <w:tc>
          <w:tcPr>
            <w:tcW w:w="969" w:type="dxa"/>
            <w:vMerge w:val="continue"/>
            <w:noWrap w:val="0"/>
            <w:vAlign w:val="center"/>
          </w:tcPr>
          <w:p w14:paraId="4838F512">
            <w:pPr>
              <w:widowControl/>
              <w:jc w:val="center"/>
              <w:rPr>
                <w:rFonts w:ascii="仿宋" w:hAnsi="仿宋" w:eastAsia="仿宋" w:cs="宋体"/>
                <w:b w:val="0"/>
                <w:bCs w:val="0"/>
                <w:color w:val="auto"/>
                <w:kern w:val="0"/>
                <w:sz w:val="24"/>
                <w:szCs w:val="24"/>
                <w:highlight w:val="none"/>
              </w:rPr>
            </w:pPr>
          </w:p>
        </w:tc>
        <w:tc>
          <w:tcPr>
            <w:tcW w:w="6301" w:type="dxa"/>
            <w:shd w:val="clear" w:color="auto" w:fill="auto"/>
            <w:noWrap w:val="0"/>
            <w:vAlign w:val="center"/>
          </w:tcPr>
          <w:p w14:paraId="68B2AD4B">
            <w:pPr>
              <w:widowControl/>
              <w:jc w:val="left"/>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rPr>
              <w:t>瞒报、虚报、乱报或未及时上报交易中心要求的有关统计信息的</w:t>
            </w:r>
            <w:r>
              <w:rPr>
                <w:rFonts w:hint="eastAsia" w:ascii="宋体" w:hAnsi="宋体" w:cs="宋体"/>
                <w:b w:val="0"/>
                <w:bCs w:val="0"/>
                <w:color w:val="auto"/>
                <w:kern w:val="0"/>
                <w:sz w:val="24"/>
                <w:szCs w:val="24"/>
                <w:highlight w:val="none"/>
                <w:lang w:eastAsia="zh-CN"/>
              </w:rPr>
              <w:t>。</w:t>
            </w:r>
          </w:p>
        </w:tc>
        <w:tc>
          <w:tcPr>
            <w:tcW w:w="998" w:type="dxa"/>
            <w:shd w:val="clear" w:color="auto" w:fill="auto"/>
            <w:noWrap w:val="0"/>
            <w:vAlign w:val="center"/>
          </w:tcPr>
          <w:p w14:paraId="5C919CF2">
            <w:pPr>
              <w:widowControl/>
              <w:jc w:val="center"/>
              <w:rPr>
                <w:rFonts w:hint="default" w:ascii="宋体" w:hAnsi="宋体" w:eastAsia="宋体" w:cs="宋体"/>
                <w:b w:val="0"/>
                <w:bCs w:val="0"/>
                <w:color w:val="auto"/>
                <w:kern w:val="0"/>
                <w:sz w:val="24"/>
                <w:szCs w:val="24"/>
                <w:highlight w:val="none"/>
                <w:lang w:val="en-US" w:eastAsia="zh-CN" w:bidi="ar-SA"/>
              </w:rPr>
            </w:pPr>
            <w:r>
              <w:rPr>
                <w:rFonts w:hint="eastAsia" w:ascii="宋体" w:hAnsi="宋体" w:cs="宋体"/>
                <w:b w:val="0"/>
                <w:bCs w:val="0"/>
                <w:color w:val="auto"/>
                <w:kern w:val="0"/>
                <w:sz w:val="24"/>
                <w:szCs w:val="24"/>
                <w:highlight w:val="none"/>
                <w:lang w:val="en-US" w:eastAsia="zh-CN"/>
              </w:rPr>
              <w:t>1分</w:t>
            </w:r>
          </w:p>
        </w:tc>
      </w:tr>
      <w:tr w14:paraId="36333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88" w:type="dxa"/>
            <w:shd w:val="clear" w:color="auto" w:fill="auto"/>
            <w:noWrap w:val="0"/>
            <w:vAlign w:val="center"/>
          </w:tcPr>
          <w:p w14:paraId="72EA105C">
            <w:pPr>
              <w:keepNext w:val="0"/>
              <w:keepLines w:val="0"/>
              <w:widowControl/>
              <w:suppressLineNumbers w:val="0"/>
              <w:jc w:val="center"/>
              <w:textAlignment w:val="center"/>
              <w:rPr>
                <w:rFonts w:hint="eastAsia" w:ascii="仿宋" w:hAnsi="仿宋" w:eastAsia="仿宋" w:cs="宋体"/>
                <w:b w:val="0"/>
                <w:bCs w:val="0"/>
                <w:color w:val="auto"/>
                <w:kern w:val="0"/>
                <w:sz w:val="24"/>
                <w:szCs w:val="24"/>
                <w:highlight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
              </w:rPr>
              <w:t>14</w:t>
            </w:r>
          </w:p>
        </w:tc>
        <w:tc>
          <w:tcPr>
            <w:tcW w:w="969" w:type="dxa"/>
            <w:vMerge w:val="continue"/>
            <w:noWrap w:val="0"/>
            <w:vAlign w:val="center"/>
          </w:tcPr>
          <w:p w14:paraId="1C15AEA3">
            <w:pPr>
              <w:widowControl/>
              <w:jc w:val="center"/>
              <w:rPr>
                <w:rFonts w:ascii="仿宋" w:hAnsi="仿宋" w:eastAsia="仿宋" w:cs="宋体"/>
                <w:b w:val="0"/>
                <w:bCs w:val="0"/>
                <w:color w:val="auto"/>
                <w:kern w:val="0"/>
                <w:sz w:val="24"/>
                <w:szCs w:val="24"/>
                <w:highlight w:val="none"/>
              </w:rPr>
            </w:pPr>
          </w:p>
        </w:tc>
        <w:tc>
          <w:tcPr>
            <w:tcW w:w="6301" w:type="dxa"/>
            <w:shd w:val="clear" w:color="auto" w:fill="auto"/>
            <w:noWrap w:val="0"/>
            <w:vAlign w:val="center"/>
          </w:tcPr>
          <w:p w14:paraId="75C6EC1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default" w:ascii="宋体" w:hAnsi="宋体" w:eastAsia="宋体" w:cs="宋体"/>
                <w:b w:val="0"/>
                <w:bCs w:val="0"/>
                <w:color w:val="auto"/>
                <w:spacing w:val="-2"/>
                <w:sz w:val="24"/>
                <w:szCs w:val="24"/>
                <w:highlight w:val="none"/>
                <w:lang w:val="en-US" w:eastAsia="zh-CN"/>
              </w:rPr>
            </w:pPr>
            <w:r>
              <w:rPr>
                <w:rFonts w:hint="eastAsia" w:ascii="宋体" w:hAnsi="宋体" w:eastAsia="宋体" w:cs="宋体"/>
                <w:b w:val="0"/>
                <w:bCs w:val="0"/>
                <w:color w:val="auto"/>
                <w:spacing w:val="-2"/>
                <w:sz w:val="24"/>
                <w:szCs w:val="24"/>
                <w:highlight w:val="none"/>
                <w:lang w:val="en-US" w:eastAsia="zh-CN"/>
              </w:rPr>
              <w:t>服务态度生硬，与服务对象发生争吵的。</w:t>
            </w:r>
          </w:p>
        </w:tc>
        <w:tc>
          <w:tcPr>
            <w:tcW w:w="998" w:type="dxa"/>
            <w:shd w:val="clear" w:color="auto" w:fill="auto"/>
            <w:noWrap w:val="0"/>
            <w:vAlign w:val="center"/>
          </w:tcPr>
          <w:p w14:paraId="16423F6D">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b w:val="0"/>
                <w:bCs w:val="0"/>
                <w:color w:val="auto"/>
                <w:spacing w:val="-6"/>
                <w:sz w:val="24"/>
                <w:szCs w:val="24"/>
                <w:highlight w:val="none"/>
                <w:lang w:val="en-US" w:eastAsia="zh-CN"/>
              </w:rPr>
            </w:pPr>
            <w:r>
              <w:rPr>
                <w:rFonts w:hint="eastAsia" w:ascii="宋体" w:hAnsi="宋体" w:eastAsia="宋体" w:cs="宋体"/>
                <w:b w:val="0"/>
                <w:bCs w:val="0"/>
                <w:color w:val="auto"/>
                <w:spacing w:val="-6"/>
                <w:sz w:val="24"/>
                <w:szCs w:val="24"/>
                <w:highlight w:val="none"/>
                <w:lang w:val="en-US" w:eastAsia="zh-CN"/>
              </w:rPr>
              <w:t>1分</w:t>
            </w:r>
          </w:p>
        </w:tc>
      </w:tr>
      <w:tr w14:paraId="55D72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88" w:type="dxa"/>
            <w:shd w:val="clear" w:color="auto" w:fill="auto"/>
            <w:noWrap w:val="0"/>
            <w:vAlign w:val="center"/>
          </w:tcPr>
          <w:p w14:paraId="2A3C8C8E">
            <w:pPr>
              <w:keepNext w:val="0"/>
              <w:keepLines w:val="0"/>
              <w:widowControl/>
              <w:suppressLineNumbers w:val="0"/>
              <w:jc w:val="center"/>
              <w:textAlignment w:val="center"/>
              <w:rPr>
                <w:rFonts w:hint="eastAsia" w:ascii="仿宋" w:hAnsi="仿宋" w:eastAsia="仿宋" w:cs="宋体"/>
                <w:b w:val="0"/>
                <w:bCs w:val="0"/>
                <w:color w:val="auto"/>
                <w:kern w:val="0"/>
                <w:sz w:val="24"/>
                <w:szCs w:val="24"/>
                <w:highlight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
              </w:rPr>
              <w:t>15</w:t>
            </w:r>
          </w:p>
        </w:tc>
        <w:tc>
          <w:tcPr>
            <w:tcW w:w="969" w:type="dxa"/>
            <w:vMerge w:val="continue"/>
            <w:noWrap w:val="0"/>
            <w:vAlign w:val="center"/>
          </w:tcPr>
          <w:p w14:paraId="0911F338">
            <w:pPr>
              <w:widowControl/>
              <w:jc w:val="center"/>
              <w:rPr>
                <w:rFonts w:ascii="仿宋" w:hAnsi="仿宋" w:eastAsia="仿宋" w:cs="宋体"/>
                <w:b w:val="0"/>
                <w:bCs w:val="0"/>
                <w:color w:val="auto"/>
                <w:kern w:val="0"/>
                <w:sz w:val="24"/>
                <w:szCs w:val="24"/>
                <w:highlight w:val="none"/>
              </w:rPr>
            </w:pPr>
          </w:p>
        </w:tc>
        <w:tc>
          <w:tcPr>
            <w:tcW w:w="6301" w:type="dxa"/>
            <w:shd w:val="clear" w:color="auto" w:fill="auto"/>
            <w:noWrap w:val="0"/>
            <w:vAlign w:val="center"/>
          </w:tcPr>
          <w:p w14:paraId="3555A9E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b w:val="0"/>
                <w:bCs w:val="0"/>
                <w:color w:val="auto"/>
                <w:spacing w:val="-3"/>
                <w:kern w:val="2"/>
                <w:sz w:val="24"/>
                <w:szCs w:val="24"/>
                <w:highlight w:val="none"/>
                <w:lang w:val="en-US" w:eastAsia="zh-CN" w:bidi="ar-SA"/>
              </w:rPr>
            </w:pPr>
            <w:r>
              <w:rPr>
                <w:rFonts w:hint="eastAsia" w:ascii="宋体" w:hAnsi="宋体" w:eastAsia="宋体" w:cs="宋体"/>
                <w:b w:val="0"/>
                <w:bCs w:val="0"/>
                <w:color w:val="auto"/>
                <w:spacing w:val="-2"/>
                <w:sz w:val="24"/>
                <w:szCs w:val="24"/>
                <w:highlight w:val="none"/>
              </w:rPr>
              <w:t>未</w:t>
            </w:r>
            <w:r>
              <w:rPr>
                <w:rFonts w:hint="eastAsia" w:ascii="宋体" w:hAnsi="宋体" w:eastAsia="宋体" w:cs="宋体"/>
                <w:b w:val="0"/>
                <w:bCs w:val="0"/>
                <w:color w:val="auto"/>
                <w:spacing w:val="-2"/>
                <w:sz w:val="24"/>
                <w:szCs w:val="24"/>
                <w:highlight w:val="none"/>
                <w:lang w:val="en-US" w:eastAsia="zh-CN"/>
              </w:rPr>
              <w:t>按照中心相关规定</w:t>
            </w:r>
            <w:r>
              <w:rPr>
                <w:rFonts w:hint="eastAsia" w:ascii="宋体" w:hAnsi="宋体" w:eastAsia="宋体" w:cs="宋体"/>
                <w:b w:val="0"/>
                <w:bCs w:val="0"/>
                <w:color w:val="auto"/>
                <w:spacing w:val="-2"/>
                <w:sz w:val="24"/>
                <w:szCs w:val="24"/>
                <w:highlight w:val="none"/>
              </w:rPr>
              <w:t>妥善处理各种</w:t>
            </w:r>
            <w:r>
              <w:rPr>
                <w:rFonts w:hint="eastAsia" w:ascii="宋体" w:hAnsi="宋体" w:eastAsia="宋体" w:cs="宋体"/>
                <w:b w:val="0"/>
                <w:bCs w:val="0"/>
                <w:color w:val="auto"/>
                <w:spacing w:val="-2"/>
                <w:sz w:val="24"/>
                <w:szCs w:val="24"/>
                <w:highlight w:val="none"/>
                <w:lang w:val="en-US" w:eastAsia="zh-CN"/>
              </w:rPr>
              <w:t>突发事件</w:t>
            </w:r>
            <w:r>
              <w:rPr>
                <w:rFonts w:hint="eastAsia" w:ascii="宋体" w:hAnsi="宋体" w:eastAsia="宋体" w:cs="宋体"/>
                <w:b w:val="0"/>
                <w:bCs w:val="0"/>
                <w:color w:val="auto"/>
                <w:spacing w:val="-2"/>
                <w:sz w:val="24"/>
                <w:szCs w:val="24"/>
                <w:highlight w:val="none"/>
              </w:rPr>
              <w:t>的。</w:t>
            </w:r>
          </w:p>
        </w:tc>
        <w:tc>
          <w:tcPr>
            <w:tcW w:w="998" w:type="dxa"/>
            <w:shd w:val="clear" w:color="auto" w:fill="auto"/>
            <w:noWrap w:val="0"/>
            <w:vAlign w:val="center"/>
          </w:tcPr>
          <w:p w14:paraId="38AA4485">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b w:val="0"/>
                <w:bCs w:val="0"/>
                <w:color w:val="auto"/>
                <w:spacing w:val="-6"/>
                <w:kern w:val="2"/>
                <w:sz w:val="24"/>
                <w:szCs w:val="24"/>
                <w:highlight w:val="none"/>
                <w:lang w:val="en-US" w:eastAsia="zh-CN" w:bidi="ar-SA"/>
              </w:rPr>
            </w:pPr>
            <w:r>
              <w:rPr>
                <w:rFonts w:hint="eastAsia" w:ascii="宋体" w:hAnsi="宋体" w:eastAsia="宋体" w:cs="宋体"/>
                <w:b w:val="0"/>
                <w:bCs w:val="0"/>
                <w:color w:val="auto"/>
                <w:spacing w:val="-6"/>
                <w:sz w:val="24"/>
                <w:szCs w:val="24"/>
                <w:highlight w:val="none"/>
                <w:lang w:val="en-US" w:eastAsia="zh-CN"/>
              </w:rPr>
              <w:t>2分</w:t>
            </w:r>
          </w:p>
        </w:tc>
      </w:tr>
      <w:bookmarkEnd w:id="31"/>
      <w:bookmarkEnd w:id="32"/>
      <w:tr w14:paraId="57E18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88" w:type="dxa"/>
            <w:shd w:val="clear" w:color="auto" w:fill="auto"/>
            <w:noWrap w:val="0"/>
            <w:vAlign w:val="center"/>
          </w:tcPr>
          <w:p w14:paraId="3BCE130D">
            <w:pPr>
              <w:keepNext w:val="0"/>
              <w:keepLines w:val="0"/>
              <w:widowControl/>
              <w:suppressLineNumbers w:val="0"/>
              <w:jc w:val="center"/>
              <w:textAlignment w:val="center"/>
              <w:rPr>
                <w:rFonts w:hint="default" w:ascii="仿宋" w:hAnsi="仿宋" w:eastAsia="仿宋" w:cs="宋体"/>
                <w:b w:val="0"/>
                <w:bCs w:val="0"/>
                <w:color w:val="auto"/>
                <w:kern w:val="0"/>
                <w:sz w:val="24"/>
                <w:szCs w:val="24"/>
                <w:highlight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
              </w:rPr>
              <w:t>16</w:t>
            </w:r>
          </w:p>
        </w:tc>
        <w:tc>
          <w:tcPr>
            <w:tcW w:w="969" w:type="dxa"/>
            <w:vMerge w:val="restart"/>
            <w:noWrap w:val="0"/>
            <w:vAlign w:val="center"/>
          </w:tcPr>
          <w:p w14:paraId="39CF1040">
            <w:pPr>
              <w:widowControl/>
              <w:jc w:val="center"/>
              <w:rPr>
                <w:rFonts w:hint="eastAsia" w:ascii="宋体" w:hAnsi="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开标</w:t>
            </w:r>
          </w:p>
        </w:tc>
        <w:tc>
          <w:tcPr>
            <w:tcW w:w="6301" w:type="dxa"/>
            <w:noWrap w:val="0"/>
            <w:vAlign w:val="center"/>
          </w:tcPr>
          <w:p w14:paraId="48262499">
            <w:pPr>
              <w:widowControl/>
              <w:jc w:val="left"/>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rPr>
              <w:t>开标现场疏于管理，违反规定饮食或对</w:t>
            </w:r>
            <w:r>
              <w:rPr>
                <w:rFonts w:hint="eastAsia" w:ascii="宋体" w:hAnsi="宋体" w:eastAsia="宋体" w:cs="宋体"/>
                <w:b w:val="0"/>
                <w:bCs w:val="0"/>
                <w:color w:val="auto"/>
                <w:kern w:val="0"/>
                <w:sz w:val="24"/>
                <w:szCs w:val="24"/>
                <w:highlight w:val="none"/>
                <w:lang w:val="en-US" w:eastAsia="zh-CN"/>
              </w:rPr>
              <w:t>现场</w:t>
            </w:r>
            <w:r>
              <w:rPr>
                <w:rFonts w:hint="eastAsia" w:ascii="宋体" w:hAnsi="宋体" w:eastAsia="宋体" w:cs="宋体"/>
                <w:b w:val="0"/>
                <w:bCs w:val="0"/>
                <w:color w:val="auto"/>
                <w:kern w:val="0"/>
                <w:sz w:val="24"/>
                <w:szCs w:val="24"/>
                <w:highlight w:val="none"/>
              </w:rPr>
              <w:t>人员</w:t>
            </w:r>
            <w:r>
              <w:rPr>
                <w:rFonts w:hint="eastAsia" w:ascii="宋体" w:hAnsi="宋体" w:eastAsia="宋体" w:cs="宋体"/>
                <w:b w:val="0"/>
                <w:bCs w:val="0"/>
                <w:color w:val="auto"/>
                <w:kern w:val="0"/>
                <w:sz w:val="24"/>
                <w:szCs w:val="24"/>
                <w:highlight w:val="none"/>
                <w:lang w:eastAsia="zh-CN"/>
              </w:rPr>
              <w:t>的</w:t>
            </w:r>
            <w:r>
              <w:rPr>
                <w:rFonts w:hint="eastAsia" w:ascii="宋体" w:hAnsi="宋体" w:eastAsia="宋体" w:cs="宋体"/>
                <w:b w:val="0"/>
                <w:bCs w:val="0"/>
                <w:color w:val="auto"/>
                <w:kern w:val="0"/>
                <w:sz w:val="24"/>
                <w:szCs w:val="24"/>
                <w:highlight w:val="none"/>
              </w:rPr>
              <w:t>不文明行为未予以劝阻的</w:t>
            </w:r>
            <w:r>
              <w:rPr>
                <w:rFonts w:hint="eastAsia" w:ascii="宋体" w:hAnsi="宋体" w:cs="宋体"/>
                <w:b w:val="0"/>
                <w:bCs w:val="0"/>
                <w:color w:val="auto"/>
                <w:kern w:val="0"/>
                <w:sz w:val="24"/>
                <w:szCs w:val="24"/>
                <w:highlight w:val="none"/>
                <w:lang w:eastAsia="zh-CN"/>
              </w:rPr>
              <w:t>。</w:t>
            </w:r>
          </w:p>
        </w:tc>
        <w:tc>
          <w:tcPr>
            <w:tcW w:w="998" w:type="dxa"/>
            <w:noWrap w:val="0"/>
            <w:vAlign w:val="center"/>
          </w:tcPr>
          <w:p w14:paraId="0879D524">
            <w:pPr>
              <w:widowControl/>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cs="宋体"/>
                <w:b w:val="0"/>
                <w:bCs w:val="0"/>
                <w:color w:val="auto"/>
                <w:kern w:val="0"/>
                <w:sz w:val="24"/>
                <w:szCs w:val="24"/>
                <w:highlight w:val="none"/>
                <w:lang w:val="en-US" w:eastAsia="zh-CN"/>
              </w:rPr>
              <w:t>1分</w:t>
            </w:r>
          </w:p>
        </w:tc>
      </w:tr>
      <w:tr w14:paraId="27370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88" w:type="dxa"/>
            <w:shd w:val="clear" w:color="auto" w:fill="auto"/>
            <w:noWrap w:val="0"/>
            <w:vAlign w:val="center"/>
          </w:tcPr>
          <w:p w14:paraId="001526B2">
            <w:pPr>
              <w:keepNext w:val="0"/>
              <w:keepLines w:val="0"/>
              <w:widowControl/>
              <w:suppressLineNumbers w:val="0"/>
              <w:jc w:val="center"/>
              <w:textAlignment w:val="center"/>
              <w:rPr>
                <w:rFonts w:hint="default" w:ascii="仿宋" w:hAnsi="仿宋" w:eastAsia="仿宋" w:cs="宋体"/>
                <w:b w:val="0"/>
                <w:bCs w:val="0"/>
                <w:color w:val="auto"/>
                <w:kern w:val="0"/>
                <w:sz w:val="24"/>
                <w:szCs w:val="24"/>
                <w:highlight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
              </w:rPr>
              <w:t>17</w:t>
            </w:r>
          </w:p>
        </w:tc>
        <w:tc>
          <w:tcPr>
            <w:tcW w:w="969" w:type="dxa"/>
            <w:vMerge w:val="continue"/>
            <w:noWrap w:val="0"/>
            <w:vAlign w:val="center"/>
          </w:tcPr>
          <w:p w14:paraId="0D3BBEFA">
            <w:pPr>
              <w:widowControl/>
              <w:jc w:val="center"/>
              <w:rPr>
                <w:rFonts w:hint="eastAsia" w:ascii="宋体" w:hAnsi="宋体" w:eastAsia="宋体" w:cs="宋体"/>
                <w:b w:val="0"/>
                <w:bCs w:val="0"/>
                <w:color w:val="auto"/>
                <w:kern w:val="0"/>
                <w:sz w:val="24"/>
                <w:szCs w:val="24"/>
                <w:highlight w:val="none"/>
              </w:rPr>
            </w:pPr>
          </w:p>
        </w:tc>
        <w:tc>
          <w:tcPr>
            <w:tcW w:w="6301" w:type="dxa"/>
            <w:noWrap w:val="0"/>
            <w:vAlign w:val="center"/>
          </w:tcPr>
          <w:p w14:paraId="718C16D8">
            <w:pPr>
              <w:widowControl/>
              <w:jc w:val="left"/>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rPr>
              <w:t>对于投标人对开标现场提出的异议，未当场作出答复，并制作记录。</w:t>
            </w:r>
          </w:p>
        </w:tc>
        <w:tc>
          <w:tcPr>
            <w:tcW w:w="998" w:type="dxa"/>
            <w:noWrap w:val="0"/>
            <w:vAlign w:val="center"/>
          </w:tcPr>
          <w:p w14:paraId="79138C66">
            <w:pPr>
              <w:widowControl/>
              <w:jc w:val="center"/>
              <w:rPr>
                <w:rFonts w:hint="default"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rPr>
              <w:t>2</w:t>
            </w:r>
            <w:r>
              <w:rPr>
                <w:rFonts w:hint="eastAsia" w:ascii="宋体" w:hAnsi="宋体" w:eastAsia="宋体" w:cs="宋体"/>
                <w:b w:val="0"/>
                <w:bCs w:val="0"/>
                <w:color w:val="auto"/>
                <w:kern w:val="0"/>
                <w:sz w:val="24"/>
                <w:szCs w:val="24"/>
                <w:highlight w:val="none"/>
              </w:rPr>
              <w:t>分</w:t>
            </w:r>
          </w:p>
        </w:tc>
      </w:tr>
      <w:tr w14:paraId="03DA1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88" w:type="dxa"/>
            <w:shd w:val="clear" w:color="auto" w:fill="auto"/>
            <w:noWrap w:val="0"/>
            <w:vAlign w:val="center"/>
          </w:tcPr>
          <w:p w14:paraId="7CEBBE47">
            <w:pPr>
              <w:keepNext w:val="0"/>
              <w:keepLines w:val="0"/>
              <w:widowControl/>
              <w:suppressLineNumbers w:val="0"/>
              <w:jc w:val="center"/>
              <w:textAlignment w:val="center"/>
              <w:rPr>
                <w:rFonts w:hint="default" w:ascii="仿宋" w:hAnsi="仿宋" w:eastAsia="仿宋" w:cs="宋体"/>
                <w:b w:val="0"/>
                <w:bCs w:val="0"/>
                <w:color w:val="auto"/>
                <w:kern w:val="0"/>
                <w:sz w:val="24"/>
                <w:szCs w:val="24"/>
                <w:highlight w:val="none"/>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
              </w:rPr>
              <w:t>18</w:t>
            </w:r>
          </w:p>
        </w:tc>
        <w:tc>
          <w:tcPr>
            <w:tcW w:w="969" w:type="dxa"/>
            <w:vMerge w:val="restart"/>
            <w:noWrap w:val="0"/>
            <w:vAlign w:val="center"/>
          </w:tcPr>
          <w:p w14:paraId="4161655E">
            <w:pPr>
              <w:widowControl/>
              <w:jc w:val="center"/>
              <w:rPr>
                <w:rFonts w:hint="default" w:ascii="宋体" w:hAnsi="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评标</w:t>
            </w:r>
          </w:p>
        </w:tc>
        <w:tc>
          <w:tcPr>
            <w:tcW w:w="6301" w:type="dxa"/>
            <w:shd w:val="clear" w:color="auto" w:fill="auto"/>
            <w:noWrap w:val="0"/>
            <w:vAlign w:val="center"/>
          </w:tcPr>
          <w:p w14:paraId="0DEF8C3D">
            <w:pPr>
              <w:widowControl/>
              <w:jc w:val="left"/>
              <w:rPr>
                <w:rFonts w:hint="eastAsia" w:ascii="宋体" w:hAnsi="宋体" w:cs="宋体" w:eastAsiaTheme="minorEastAsia"/>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rPr>
              <w:t>招标代理机构向评标委员会提供评标所需的重要信息和数据，带有明示或者暗示倾向或者排斥特定投标人</w:t>
            </w:r>
            <w:r>
              <w:rPr>
                <w:rFonts w:hint="eastAsia" w:ascii="宋体" w:hAnsi="宋体" w:cs="宋体"/>
                <w:b w:val="0"/>
                <w:bCs w:val="0"/>
                <w:color w:val="auto"/>
                <w:kern w:val="0"/>
                <w:sz w:val="24"/>
                <w:szCs w:val="24"/>
                <w:highlight w:val="none"/>
                <w:lang w:eastAsia="zh-CN"/>
              </w:rPr>
              <w:t>的</w:t>
            </w:r>
            <w:r>
              <w:rPr>
                <w:rFonts w:hint="eastAsia" w:ascii="宋体" w:hAnsi="宋体" w:eastAsia="宋体" w:cs="宋体"/>
                <w:b w:val="0"/>
                <w:bCs w:val="0"/>
                <w:color w:val="auto"/>
                <w:kern w:val="0"/>
                <w:sz w:val="24"/>
                <w:szCs w:val="24"/>
                <w:highlight w:val="none"/>
              </w:rPr>
              <w:t>信息。</w:t>
            </w:r>
          </w:p>
        </w:tc>
        <w:tc>
          <w:tcPr>
            <w:tcW w:w="998" w:type="dxa"/>
            <w:shd w:val="clear" w:color="auto" w:fill="auto"/>
            <w:noWrap w:val="0"/>
            <w:vAlign w:val="center"/>
          </w:tcPr>
          <w:p w14:paraId="07C22266">
            <w:pPr>
              <w:widowControl/>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cs="宋体"/>
                <w:b w:val="0"/>
                <w:bCs w:val="0"/>
                <w:color w:val="auto"/>
                <w:kern w:val="0"/>
                <w:sz w:val="24"/>
                <w:szCs w:val="24"/>
                <w:highlight w:val="none"/>
                <w:lang w:val="en-US" w:eastAsia="zh-CN"/>
              </w:rPr>
              <w:t>5</w:t>
            </w:r>
            <w:r>
              <w:rPr>
                <w:rFonts w:hint="eastAsia" w:ascii="宋体" w:hAnsi="宋体" w:eastAsia="宋体" w:cs="宋体"/>
                <w:b w:val="0"/>
                <w:bCs w:val="0"/>
                <w:color w:val="auto"/>
                <w:kern w:val="0"/>
                <w:sz w:val="24"/>
                <w:szCs w:val="24"/>
                <w:highlight w:val="none"/>
              </w:rPr>
              <w:t>分</w:t>
            </w:r>
          </w:p>
        </w:tc>
      </w:tr>
      <w:tr w14:paraId="12C81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88" w:type="dxa"/>
            <w:shd w:val="clear" w:color="auto" w:fill="auto"/>
            <w:noWrap w:val="0"/>
            <w:vAlign w:val="center"/>
          </w:tcPr>
          <w:p w14:paraId="1FA0F79F">
            <w:pPr>
              <w:keepNext w:val="0"/>
              <w:keepLines w:val="0"/>
              <w:widowControl/>
              <w:suppressLineNumbers w:val="0"/>
              <w:jc w:val="center"/>
              <w:textAlignment w:val="center"/>
              <w:rPr>
                <w:rFonts w:hint="default" w:ascii="仿宋" w:hAnsi="仿宋" w:eastAsia="仿宋" w:cs="宋体"/>
                <w:b w:val="0"/>
                <w:bCs w:val="0"/>
                <w:color w:val="auto"/>
                <w:kern w:val="0"/>
                <w:sz w:val="24"/>
                <w:szCs w:val="24"/>
                <w:highlight w:val="none"/>
                <w:lang w:val="en-US" w:eastAsia="zh-CN" w:bidi="ar-SA"/>
              </w:rPr>
            </w:pPr>
            <w:r>
              <w:rPr>
                <w:rFonts w:hint="eastAsia" w:ascii="仿宋" w:hAnsi="仿宋" w:eastAsia="仿宋" w:cs="宋体"/>
                <w:b w:val="0"/>
                <w:bCs w:val="0"/>
                <w:color w:val="auto"/>
                <w:kern w:val="0"/>
                <w:sz w:val="24"/>
                <w:szCs w:val="24"/>
                <w:highlight w:val="none"/>
                <w:lang w:val="en-US" w:eastAsia="zh-CN" w:bidi="ar-SA"/>
              </w:rPr>
              <w:t>19</w:t>
            </w:r>
          </w:p>
        </w:tc>
        <w:tc>
          <w:tcPr>
            <w:tcW w:w="969" w:type="dxa"/>
            <w:vMerge w:val="continue"/>
            <w:noWrap w:val="0"/>
            <w:vAlign w:val="center"/>
          </w:tcPr>
          <w:p w14:paraId="5E60CF78">
            <w:pPr>
              <w:widowControl/>
              <w:jc w:val="center"/>
              <w:rPr>
                <w:rFonts w:hint="eastAsia" w:ascii="宋体" w:hAnsi="宋体" w:cs="宋体"/>
                <w:b w:val="0"/>
                <w:bCs w:val="0"/>
                <w:color w:val="auto"/>
                <w:kern w:val="0"/>
                <w:sz w:val="24"/>
                <w:szCs w:val="24"/>
                <w:highlight w:val="none"/>
                <w:lang w:val="en-US" w:eastAsia="zh-CN"/>
              </w:rPr>
            </w:pPr>
          </w:p>
        </w:tc>
        <w:tc>
          <w:tcPr>
            <w:tcW w:w="6301" w:type="dxa"/>
            <w:shd w:val="clear" w:color="auto" w:fill="auto"/>
            <w:noWrap w:val="0"/>
            <w:vAlign w:val="center"/>
          </w:tcPr>
          <w:p w14:paraId="46358DA8">
            <w:pPr>
              <w:widowControl/>
              <w:jc w:val="left"/>
              <w:rPr>
                <w:rFonts w:hint="eastAsia" w:ascii="宋体" w:hAnsi="宋体" w:eastAsia="宋体" w:cs="宋体"/>
                <w:b w:val="0"/>
                <w:bCs w:val="0"/>
                <w:color w:val="auto"/>
                <w:kern w:val="0"/>
                <w:sz w:val="24"/>
                <w:szCs w:val="24"/>
                <w:highlight w:val="none"/>
                <w:lang w:val="en-US" w:eastAsia="zh-CN" w:bidi="ar-SA"/>
              </w:rPr>
            </w:pPr>
            <w:r>
              <w:rPr>
                <w:rFonts w:hint="eastAsia" w:ascii="宋体" w:hAnsi="宋体" w:cs="宋体"/>
                <w:b w:val="0"/>
                <w:bCs w:val="0"/>
                <w:color w:val="auto"/>
                <w:kern w:val="0"/>
                <w:sz w:val="24"/>
                <w:szCs w:val="24"/>
                <w:highlight w:val="none"/>
                <w:lang w:val="en-US" w:eastAsia="zh-CN"/>
              </w:rPr>
              <w:t>项目组成员</w:t>
            </w:r>
            <w:r>
              <w:rPr>
                <w:rFonts w:hint="eastAsia" w:ascii="宋体" w:hAnsi="宋体" w:eastAsia="宋体" w:cs="宋体"/>
                <w:b w:val="0"/>
                <w:bCs w:val="0"/>
                <w:color w:val="auto"/>
                <w:kern w:val="0"/>
                <w:sz w:val="24"/>
                <w:szCs w:val="24"/>
                <w:highlight w:val="none"/>
              </w:rPr>
              <w:t>评标未结束中途离场或临时替换的</w:t>
            </w:r>
            <w:r>
              <w:rPr>
                <w:rFonts w:hint="eastAsia" w:ascii="宋体" w:hAnsi="宋体" w:cs="宋体"/>
                <w:b w:val="0"/>
                <w:bCs w:val="0"/>
                <w:color w:val="auto"/>
                <w:kern w:val="0"/>
                <w:sz w:val="24"/>
                <w:szCs w:val="24"/>
                <w:highlight w:val="none"/>
                <w:lang w:eastAsia="zh-CN"/>
              </w:rPr>
              <w:t>。</w:t>
            </w:r>
          </w:p>
        </w:tc>
        <w:tc>
          <w:tcPr>
            <w:tcW w:w="998" w:type="dxa"/>
            <w:shd w:val="clear" w:color="auto" w:fill="auto"/>
            <w:noWrap w:val="0"/>
            <w:vAlign w:val="center"/>
          </w:tcPr>
          <w:p w14:paraId="6B9BCA78">
            <w:pPr>
              <w:widowControl/>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rPr>
              <w:t>2</w:t>
            </w:r>
            <w:r>
              <w:rPr>
                <w:rFonts w:hint="eastAsia" w:ascii="宋体" w:hAnsi="宋体" w:eastAsia="宋体" w:cs="宋体"/>
                <w:b w:val="0"/>
                <w:bCs w:val="0"/>
                <w:color w:val="auto"/>
                <w:kern w:val="0"/>
                <w:sz w:val="24"/>
                <w:szCs w:val="24"/>
                <w:highlight w:val="none"/>
              </w:rPr>
              <w:t>分</w:t>
            </w:r>
          </w:p>
        </w:tc>
      </w:tr>
      <w:tr w14:paraId="40F1A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88" w:type="dxa"/>
            <w:shd w:val="clear" w:color="auto" w:fill="auto"/>
            <w:noWrap w:val="0"/>
            <w:vAlign w:val="center"/>
          </w:tcPr>
          <w:p w14:paraId="0FCF54AB">
            <w:pPr>
              <w:keepNext w:val="0"/>
              <w:keepLines w:val="0"/>
              <w:widowControl/>
              <w:suppressLineNumbers w:val="0"/>
              <w:jc w:val="center"/>
              <w:textAlignment w:val="center"/>
              <w:rPr>
                <w:rFonts w:hint="eastAsia" w:ascii="仿宋" w:hAnsi="仿宋" w:eastAsia="仿宋" w:cs="宋体"/>
                <w:b w:val="0"/>
                <w:bCs w:val="0"/>
                <w:color w:val="auto"/>
                <w:kern w:val="0"/>
                <w:sz w:val="24"/>
                <w:szCs w:val="24"/>
                <w:highlight w:val="none"/>
                <w:lang w:val="en-US" w:eastAsia="zh-CN" w:bidi="ar-SA"/>
              </w:rPr>
            </w:pPr>
            <w:r>
              <w:rPr>
                <w:rFonts w:hint="eastAsia" w:ascii="仿宋" w:hAnsi="仿宋" w:eastAsia="仿宋" w:cs="宋体"/>
                <w:b w:val="0"/>
                <w:bCs w:val="0"/>
                <w:color w:val="auto"/>
                <w:kern w:val="0"/>
                <w:sz w:val="24"/>
                <w:szCs w:val="24"/>
                <w:highlight w:val="none"/>
                <w:lang w:val="en-US" w:eastAsia="zh-CN" w:bidi="ar-SA"/>
              </w:rPr>
              <w:t>20</w:t>
            </w:r>
          </w:p>
        </w:tc>
        <w:tc>
          <w:tcPr>
            <w:tcW w:w="969" w:type="dxa"/>
            <w:vMerge w:val="continue"/>
            <w:noWrap w:val="0"/>
            <w:vAlign w:val="center"/>
          </w:tcPr>
          <w:p w14:paraId="15C6BB38">
            <w:pPr>
              <w:widowControl/>
              <w:jc w:val="center"/>
              <w:rPr>
                <w:rFonts w:hint="eastAsia" w:ascii="宋体" w:hAnsi="宋体" w:cs="宋体"/>
                <w:b w:val="0"/>
                <w:bCs w:val="0"/>
                <w:color w:val="auto"/>
                <w:kern w:val="0"/>
                <w:sz w:val="24"/>
                <w:szCs w:val="24"/>
                <w:highlight w:val="none"/>
                <w:lang w:val="en-US" w:eastAsia="zh-CN"/>
              </w:rPr>
            </w:pPr>
          </w:p>
        </w:tc>
        <w:tc>
          <w:tcPr>
            <w:tcW w:w="6301" w:type="dxa"/>
            <w:shd w:val="clear" w:color="auto" w:fill="auto"/>
            <w:noWrap w:val="0"/>
            <w:vAlign w:val="center"/>
          </w:tcPr>
          <w:p w14:paraId="3179000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1"/>
                <w:sz w:val="24"/>
                <w:szCs w:val="24"/>
                <w:highlight w:val="none"/>
              </w:rPr>
              <w:t>带样品评审的项目，未按规定执行或办理的</w:t>
            </w:r>
            <w:r>
              <w:rPr>
                <w:rFonts w:hint="eastAsia" w:ascii="宋体" w:hAnsi="宋体" w:eastAsia="宋体" w:cs="宋体"/>
                <w:b w:val="0"/>
                <w:bCs w:val="0"/>
                <w:color w:val="auto"/>
                <w:spacing w:val="-1"/>
                <w:sz w:val="24"/>
                <w:szCs w:val="24"/>
                <w:highlight w:val="none"/>
                <w:lang w:eastAsia="zh-CN"/>
              </w:rPr>
              <w:t>。</w:t>
            </w:r>
            <w:r>
              <w:rPr>
                <w:rFonts w:hint="eastAsia" w:ascii="宋体" w:hAnsi="宋体" w:eastAsia="宋体" w:cs="宋体"/>
                <w:b w:val="0"/>
                <w:bCs w:val="0"/>
                <w:color w:val="auto"/>
                <w:spacing w:val="-1"/>
                <w:sz w:val="24"/>
                <w:szCs w:val="24"/>
                <w:highlight w:val="none"/>
                <w:lang w:val="en-US" w:eastAsia="zh-CN"/>
              </w:rPr>
              <w:t>中标公告发布后3个月内未及时清退样品的。</w:t>
            </w:r>
          </w:p>
        </w:tc>
        <w:tc>
          <w:tcPr>
            <w:tcW w:w="998" w:type="dxa"/>
            <w:shd w:val="clear" w:color="auto" w:fill="auto"/>
            <w:noWrap w:val="0"/>
            <w:vAlign w:val="center"/>
          </w:tcPr>
          <w:p w14:paraId="0289881D">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pacing w:val="-6"/>
                <w:sz w:val="24"/>
                <w:szCs w:val="24"/>
                <w:highlight w:val="none"/>
                <w:lang w:val="en-US" w:eastAsia="zh-CN"/>
              </w:rPr>
              <w:t>3</w:t>
            </w:r>
            <w:r>
              <w:rPr>
                <w:rFonts w:hint="eastAsia" w:ascii="宋体" w:hAnsi="宋体" w:eastAsia="宋体" w:cs="宋体"/>
                <w:b w:val="0"/>
                <w:bCs w:val="0"/>
                <w:color w:val="auto"/>
                <w:spacing w:val="-6"/>
                <w:sz w:val="24"/>
                <w:szCs w:val="24"/>
                <w:highlight w:val="none"/>
              </w:rPr>
              <w:t>分</w:t>
            </w:r>
          </w:p>
        </w:tc>
      </w:tr>
      <w:tr w14:paraId="00527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88" w:type="dxa"/>
            <w:shd w:val="clear" w:color="auto" w:fill="auto"/>
            <w:noWrap w:val="0"/>
            <w:vAlign w:val="center"/>
          </w:tcPr>
          <w:p w14:paraId="40D60E37">
            <w:pPr>
              <w:keepNext w:val="0"/>
              <w:keepLines w:val="0"/>
              <w:widowControl/>
              <w:suppressLineNumbers w:val="0"/>
              <w:jc w:val="center"/>
              <w:textAlignment w:val="center"/>
              <w:rPr>
                <w:rFonts w:hint="default" w:ascii="仿宋" w:hAnsi="仿宋" w:eastAsia="仿宋" w:cs="宋体"/>
                <w:b w:val="0"/>
                <w:bCs w:val="0"/>
                <w:color w:val="auto"/>
                <w:kern w:val="0"/>
                <w:sz w:val="24"/>
                <w:szCs w:val="24"/>
                <w:highlight w:val="none"/>
                <w:lang w:val="en-US" w:eastAsia="zh-CN" w:bidi="ar-SA"/>
              </w:rPr>
            </w:pPr>
            <w:r>
              <w:rPr>
                <w:rFonts w:hint="eastAsia" w:ascii="仿宋" w:hAnsi="仿宋" w:eastAsia="仿宋" w:cs="宋体"/>
                <w:b w:val="0"/>
                <w:bCs w:val="0"/>
                <w:color w:val="auto"/>
                <w:kern w:val="0"/>
                <w:sz w:val="24"/>
                <w:szCs w:val="24"/>
                <w:highlight w:val="none"/>
                <w:lang w:val="en-US" w:eastAsia="zh-CN" w:bidi="ar-SA"/>
              </w:rPr>
              <w:t>21</w:t>
            </w:r>
          </w:p>
        </w:tc>
        <w:tc>
          <w:tcPr>
            <w:tcW w:w="969" w:type="dxa"/>
            <w:vMerge w:val="continue"/>
            <w:noWrap w:val="0"/>
            <w:vAlign w:val="center"/>
          </w:tcPr>
          <w:p w14:paraId="62D71F38">
            <w:pPr>
              <w:widowControl/>
              <w:jc w:val="center"/>
              <w:rPr>
                <w:rFonts w:hint="eastAsia" w:ascii="宋体" w:hAnsi="宋体" w:cs="宋体"/>
                <w:b w:val="0"/>
                <w:bCs w:val="0"/>
                <w:color w:val="auto"/>
                <w:kern w:val="0"/>
                <w:sz w:val="24"/>
                <w:szCs w:val="24"/>
                <w:highlight w:val="none"/>
                <w:lang w:val="en-US" w:eastAsia="zh-CN"/>
              </w:rPr>
            </w:pPr>
          </w:p>
        </w:tc>
        <w:tc>
          <w:tcPr>
            <w:tcW w:w="6301" w:type="dxa"/>
            <w:shd w:val="clear" w:color="auto" w:fill="auto"/>
            <w:noWrap w:val="0"/>
            <w:vAlign w:val="center"/>
          </w:tcPr>
          <w:p w14:paraId="5CC9BCB5">
            <w:pPr>
              <w:widowControl/>
              <w:jc w:val="left"/>
              <w:rPr>
                <w:rFonts w:hint="default" w:ascii="宋体" w:hAnsi="宋体" w:eastAsia="宋体" w:cs="宋体"/>
                <w:b w:val="0"/>
                <w:bCs w:val="0"/>
                <w:color w:val="auto"/>
                <w:kern w:val="0"/>
                <w:sz w:val="24"/>
                <w:szCs w:val="24"/>
                <w:highlight w:val="none"/>
                <w:lang w:val="en-US" w:eastAsia="zh-CN" w:bidi="ar-SA"/>
              </w:rPr>
            </w:pPr>
            <w:bookmarkStart w:id="33" w:name="OLE_LINK60"/>
            <w:r>
              <w:rPr>
                <w:rFonts w:hint="eastAsia" w:ascii="宋体" w:hAnsi="宋体" w:cs="宋体"/>
                <w:b w:val="0"/>
                <w:bCs w:val="0"/>
                <w:color w:val="auto"/>
                <w:kern w:val="0"/>
                <w:sz w:val="24"/>
                <w:szCs w:val="24"/>
                <w:highlight w:val="none"/>
                <w:lang w:val="en-US" w:eastAsia="zh-CN"/>
              </w:rPr>
              <w:t>代理机构工作人员无正当理由随意进出评标区（室），或不服从中心工作人员协调和管理，扰乱公共资源交易秩序的。</w:t>
            </w:r>
            <w:bookmarkEnd w:id="33"/>
          </w:p>
        </w:tc>
        <w:tc>
          <w:tcPr>
            <w:tcW w:w="998" w:type="dxa"/>
            <w:shd w:val="clear" w:color="auto" w:fill="auto"/>
            <w:noWrap w:val="0"/>
            <w:vAlign w:val="center"/>
          </w:tcPr>
          <w:p w14:paraId="2D815A36">
            <w:pPr>
              <w:widowControl/>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rPr>
              <w:t>1</w:t>
            </w:r>
            <w:r>
              <w:rPr>
                <w:rFonts w:hint="eastAsia" w:ascii="宋体" w:hAnsi="宋体" w:eastAsia="宋体" w:cs="宋体"/>
                <w:b w:val="0"/>
                <w:bCs w:val="0"/>
                <w:color w:val="auto"/>
                <w:kern w:val="0"/>
                <w:sz w:val="24"/>
                <w:szCs w:val="24"/>
                <w:highlight w:val="none"/>
              </w:rPr>
              <w:t>分</w:t>
            </w:r>
          </w:p>
        </w:tc>
      </w:tr>
      <w:tr w14:paraId="54608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88" w:type="dxa"/>
            <w:shd w:val="clear" w:color="auto" w:fill="auto"/>
            <w:noWrap w:val="0"/>
            <w:vAlign w:val="center"/>
          </w:tcPr>
          <w:p w14:paraId="49353C1A">
            <w:pPr>
              <w:keepNext w:val="0"/>
              <w:keepLines w:val="0"/>
              <w:widowControl/>
              <w:suppressLineNumbers w:val="0"/>
              <w:jc w:val="center"/>
              <w:textAlignment w:val="center"/>
              <w:rPr>
                <w:rFonts w:hint="default" w:ascii="仿宋" w:hAnsi="仿宋" w:eastAsia="仿宋" w:cs="宋体"/>
                <w:b w:val="0"/>
                <w:bCs w:val="0"/>
                <w:color w:val="auto"/>
                <w:kern w:val="0"/>
                <w:sz w:val="24"/>
                <w:szCs w:val="24"/>
                <w:highlight w:val="none"/>
                <w:lang w:val="en-US" w:eastAsia="zh-CN" w:bidi="ar-SA"/>
              </w:rPr>
            </w:pPr>
            <w:r>
              <w:rPr>
                <w:rFonts w:hint="eastAsia" w:ascii="仿宋" w:hAnsi="仿宋" w:eastAsia="仿宋" w:cs="宋体"/>
                <w:b w:val="0"/>
                <w:bCs w:val="0"/>
                <w:color w:val="auto"/>
                <w:kern w:val="0"/>
                <w:sz w:val="24"/>
                <w:szCs w:val="24"/>
                <w:highlight w:val="none"/>
                <w:lang w:val="en-US" w:eastAsia="zh-CN" w:bidi="ar-SA"/>
              </w:rPr>
              <w:t>22</w:t>
            </w:r>
          </w:p>
        </w:tc>
        <w:tc>
          <w:tcPr>
            <w:tcW w:w="969" w:type="dxa"/>
            <w:vMerge w:val="continue"/>
            <w:noWrap w:val="0"/>
            <w:vAlign w:val="center"/>
          </w:tcPr>
          <w:p w14:paraId="150C87B1">
            <w:pPr>
              <w:widowControl/>
              <w:jc w:val="center"/>
              <w:rPr>
                <w:rFonts w:hint="eastAsia" w:ascii="宋体" w:hAnsi="宋体" w:cs="宋体"/>
                <w:b w:val="0"/>
                <w:bCs w:val="0"/>
                <w:color w:val="auto"/>
                <w:kern w:val="0"/>
                <w:sz w:val="24"/>
                <w:szCs w:val="24"/>
                <w:highlight w:val="none"/>
                <w:lang w:val="en-US" w:eastAsia="zh-CN"/>
              </w:rPr>
            </w:pPr>
          </w:p>
        </w:tc>
        <w:tc>
          <w:tcPr>
            <w:tcW w:w="6301" w:type="dxa"/>
            <w:shd w:val="clear" w:color="auto" w:fill="auto"/>
            <w:noWrap w:val="0"/>
            <w:vAlign w:val="center"/>
          </w:tcPr>
          <w:p w14:paraId="0543C523">
            <w:pPr>
              <w:widowControl/>
              <w:jc w:val="left"/>
              <w:rPr>
                <w:rFonts w:hint="eastAsia" w:ascii="宋体" w:hAnsi="宋体" w:eastAsia="宋体" w:cs="宋体"/>
                <w:b w:val="0"/>
                <w:bCs w:val="0"/>
                <w:color w:val="auto"/>
                <w:kern w:val="0"/>
                <w:sz w:val="24"/>
                <w:szCs w:val="24"/>
                <w:highlight w:val="none"/>
                <w:lang w:val="en-US" w:eastAsia="zh-CN" w:bidi="ar-SA"/>
              </w:rPr>
            </w:pPr>
            <w:bookmarkStart w:id="34" w:name="OLE_LINK32"/>
            <w:r>
              <w:rPr>
                <w:rFonts w:hint="eastAsia" w:ascii="宋体" w:hAnsi="宋体" w:eastAsia="宋体" w:cs="宋体"/>
                <w:b w:val="0"/>
                <w:bCs w:val="0"/>
                <w:color w:val="auto"/>
                <w:kern w:val="0"/>
                <w:sz w:val="24"/>
                <w:szCs w:val="24"/>
                <w:highlight w:val="none"/>
              </w:rPr>
              <w:t>将</w:t>
            </w:r>
            <w:bookmarkStart w:id="35" w:name="OLE_LINK18"/>
            <w:r>
              <w:rPr>
                <w:rFonts w:hint="eastAsia" w:ascii="宋体" w:hAnsi="宋体" w:eastAsia="宋体" w:cs="宋体"/>
                <w:b w:val="0"/>
                <w:bCs w:val="0"/>
                <w:color w:val="auto"/>
                <w:kern w:val="0"/>
                <w:sz w:val="24"/>
                <w:szCs w:val="24"/>
                <w:highlight w:val="none"/>
              </w:rPr>
              <w:t>通讯工具</w:t>
            </w:r>
            <w:r>
              <w:rPr>
                <w:rFonts w:hint="eastAsia" w:ascii="宋体" w:hAnsi="宋体" w:cs="宋体"/>
                <w:b w:val="0"/>
                <w:bCs w:val="0"/>
                <w:color w:val="auto"/>
                <w:kern w:val="0"/>
                <w:sz w:val="24"/>
                <w:szCs w:val="24"/>
                <w:highlight w:val="none"/>
                <w:lang w:eastAsia="zh-CN"/>
              </w:rPr>
              <w:t>、</w:t>
            </w:r>
            <w:r>
              <w:rPr>
                <w:rFonts w:hint="eastAsia" w:ascii="宋体" w:hAnsi="宋体" w:cs="宋体"/>
                <w:b w:val="0"/>
                <w:bCs w:val="0"/>
                <w:color w:val="auto"/>
                <w:kern w:val="0"/>
                <w:sz w:val="24"/>
                <w:szCs w:val="24"/>
                <w:highlight w:val="none"/>
                <w:lang w:val="en-US" w:eastAsia="zh-CN"/>
              </w:rPr>
              <w:t>电脑、电子手表</w:t>
            </w:r>
            <w:r>
              <w:rPr>
                <w:rFonts w:hint="eastAsia" w:ascii="宋体" w:hAnsi="宋体" w:eastAsia="宋体" w:cs="宋体"/>
                <w:b w:val="0"/>
                <w:bCs w:val="0"/>
                <w:color w:val="auto"/>
                <w:kern w:val="0"/>
                <w:sz w:val="24"/>
                <w:szCs w:val="24"/>
                <w:highlight w:val="none"/>
              </w:rPr>
              <w:t>等电子设备</w:t>
            </w:r>
            <w:bookmarkEnd w:id="35"/>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lang w:val="en-US" w:eastAsia="zh-CN"/>
              </w:rPr>
              <w:t>包裹等</w:t>
            </w:r>
            <w:r>
              <w:rPr>
                <w:rFonts w:hint="eastAsia" w:ascii="宋体" w:hAnsi="宋体" w:eastAsia="宋体" w:cs="宋体"/>
                <w:b w:val="0"/>
                <w:bCs w:val="0"/>
                <w:color w:val="auto"/>
                <w:kern w:val="0"/>
                <w:sz w:val="24"/>
                <w:szCs w:val="24"/>
                <w:highlight w:val="none"/>
              </w:rPr>
              <w:t>带入评标区域的</w:t>
            </w:r>
            <w:r>
              <w:rPr>
                <w:rFonts w:hint="eastAsia" w:ascii="宋体" w:hAnsi="宋体" w:cs="宋体"/>
                <w:b w:val="0"/>
                <w:bCs w:val="0"/>
                <w:color w:val="auto"/>
                <w:kern w:val="0"/>
                <w:sz w:val="24"/>
                <w:szCs w:val="24"/>
                <w:highlight w:val="none"/>
                <w:lang w:eastAsia="zh-CN"/>
              </w:rPr>
              <w:t>。</w:t>
            </w:r>
            <w:bookmarkEnd w:id="34"/>
          </w:p>
        </w:tc>
        <w:tc>
          <w:tcPr>
            <w:tcW w:w="998" w:type="dxa"/>
            <w:shd w:val="clear" w:color="auto" w:fill="auto"/>
            <w:noWrap w:val="0"/>
            <w:vAlign w:val="center"/>
          </w:tcPr>
          <w:p w14:paraId="3838E497">
            <w:pPr>
              <w:widowControl/>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rPr>
              <w:t>1</w:t>
            </w:r>
            <w:r>
              <w:rPr>
                <w:rFonts w:hint="eastAsia" w:ascii="宋体" w:hAnsi="宋体" w:eastAsia="宋体" w:cs="宋体"/>
                <w:b w:val="0"/>
                <w:bCs w:val="0"/>
                <w:color w:val="auto"/>
                <w:kern w:val="0"/>
                <w:sz w:val="24"/>
                <w:szCs w:val="24"/>
                <w:highlight w:val="none"/>
              </w:rPr>
              <w:t>分</w:t>
            </w:r>
          </w:p>
        </w:tc>
      </w:tr>
      <w:tr w14:paraId="49BC5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88" w:type="dxa"/>
            <w:shd w:val="clear" w:color="auto" w:fill="auto"/>
            <w:noWrap w:val="0"/>
            <w:vAlign w:val="center"/>
          </w:tcPr>
          <w:p w14:paraId="238BA86D">
            <w:pPr>
              <w:keepNext w:val="0"/>
              <w:keepLines w:val="0"/>
              <w:widowControl/>
              <w:suppressLineNumbers w:val="0"/>
              <w:jc w:val="center"/>
              <w:textAlignment w:val="center"/>
              <w:rPr>
                <w:rFonts w:hint="default" w:ascii="仿宋" w:hAnsi="仿宋" w:eastAsia="仿宋" w:cs="宋体"/>
                <w:b w:val="0"/>
                <w:bCs w:val="0"/>
                <w:color w:val="auto"/>
                <w:kern w:val="0"/>
                <w:sz w:val="24"/>
                <w:szCs w:val="24"/>
                <w:highlight w:val="none"/>
                <w:lang w:val="en-US" w:eastAsia="zh-CN" w:bidi="ar-SA"/>
              </w:rPr>
            </w:pPr>
            <w:r>
              <w:rPr>
                <w:rFonts w:hint="eastAsia" w:ascii="仿宋" w:hAnsi="仿宋" w:eastAsia="仿宋" w:cs="宋体"/>
                <w:b w:val="0"/>
                <w:bCs w:val="0"/>
                <w:color w:val="auto"/>
                <w:kern w:val="0"/>
                <w:sz w:val="24"/>
                <w:szCs w:val="24"/>
                <w:highlight w:val="none"/>
                <w:lang w:val="en-US" w:eastAsia="zh-CN" w:bidi="ar-SA"/>
              </w:rPr>
              <w:t>23</w:t>
            </w:r>
          </w:p>
        </w:tc>
        <w:tc>
          <w:tcPr>
            <w:tcW w:w="969" w:type="dxa"/>
            <w:vMerge w:val="continue"/>
            <w:noWrap w:val="0"/>
            <w:vAlign w:val="center"/>
          </w:tcPr>
          <w:p w14:paraId="66B75D69">
            <w:pPr>
              <w:widowControl/>
              <w:jc w:val="center"/>
              <w:rPr>
                <w:rFonts w:hint="eastAsia" w:ascii="宋体" w:hAnsi="宋体" w:cs="宋体"/>
                <w:b w:val="0"/>
                <w:bCs w:val="0"/>
                <w:color w:val="auto"/>
                <w:kern w:val="0"/>
                <w:sz w:val="24"/>
                <w:szCs w:val="24"/>
                <w:highlight w:val="none"/>
                <w:lang w:val="en-US" w:eastAsia="zh-CN"/>
              </w:rPr>
            </w:pPr>
          </w:p>
        </w:tc>
        <w:tc>
          <w:tcPr>
            <w:tcW w:w="6301" w:type="dxa"/>
            <w:shd w:val="clear" w:color="auto" w:fill="auto"/>
            <w:noWrap w:val="0"/>
            <w:vAlign w:val="center"/>
          </w:tcPr>
          <w:p w14:paraId="77AD42DC">
            <w:pPr>
              <w:widowControl/>
              <w:jc w:val="left"/>
              <w:rPr>
                <w:rFonts w:hint="default"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rPr>
              <w:t>将</w:t>
            </w:r>
            <w:bookmarkStart w:id="36" w:name="OLE_LINK9"/>
            <w:r>
              <w:rPr>
                <w:rFonts w:hint="eastAsia" w:ascii="宋体" w:hAnsi="宋体" w:eastAsia="宋体" w:cs="宋体"/>
                <w:b w:val="0"/>
                <w:bCs w:val="0"/>
                <w:color w:val="auto"/>
                <w:kern w:val="0"/>
                <w:sz w:val="24"/>
                <w:szCs w:val="24"/>
                <w:highlight w:val="none"/>
              </w:rPr>
              <w:t>与项目评审无关</w:t>
            </w:r>
            <w:bookmarkEnd w:id="36"/>
            <w:r>
              <w:rPr>
                <w:rFonts w:hint="eastAsia" w:ascii="宋体" w:hAnsi="宋体" w:eastAsia="宋体" w:cs="宋体"/>
                <w:b w:val="0"/>
                <w:bCs w:val="0"/>
                <w:color w:val="auto"/>
                <w:kern w:val="0"/>
                <w:sz w:val="24"/>
                <w:szCs w:val="24"/>
                <w:highlight w:val="none"/>
                <w:lang w:eastAsia="zh-CN"/>
              </w:rPr>
              <w:t>的</w:t>
            </w:r>
            <w:r>
              <w:rPr>
                <w:rFonts w:hint="eastAsia" w:ascii="宋体" w:hAnsi="宋体" w:eastAsia="宋体" w:cs="宋体"/>
                <w:b w:val="0"/>
                <w:bCs w:val="0"/>
                <w:color w:val="auto"/>
                <w:kern w:val="0"/>
                <w:sz w:val="24"/>
                <w:szCs w:val="24"/>
                <w:highlight w:val="none"/>
              </w:rPr>
              <w:t>资料带入评标区域</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rPr>
              <w:t>或在评审过程中将</w:t>
            </w:r>
            <w:r>
              <w:rPr>
                <w:rFonts w:hint="eastAsia" w:ascii="宋体" w:hAnsi="宋体" w:eastAsia="宋体" w:cs="宋体"/>
                <w:b w:val="0"/>
                <w:bCs w:val="0"/>
                <w:color w:val="auto"/>
                <w:kern w:val="0"/>
                <w:sz w:val="24"/>
                <w:szCs w:val="24"/>
                <w:highlight w:val="none"/>
                <w:lang w:val="en-US" w:eastAsia="zh-CN"/>
              </w:rPr>
              <w:t>与项目无关的</w:t>
            </w:r>
            <w:r>
              <w:rPr>
                <w:rFonts w:hint="eastAsia" w:ascii="宋体" w:hAnsi="宋体" w:eastAsia="宋体" w:cs="宋体"/>
                <w:b w:val="0"/>
                <w:bCs w:val="0"/>
                <w:color w:val="auto"/>
                <w:kern w:val="0"/>
                <w:sz w:val="24"/>
                <w:szCs w:val="24"/>
                <w:highlight w:val="none"/>
              </w:rPr>
              <w:t>资料带出评标区域的</w:t>
            </w:r>
            <w:r>
              <w:rPr>
                <w:rFonts w:hint="eastAsia" w:ascii="宋体" w:hAnsi="宋体" w:cs="宋体"/>
                <w:b w:val="0"/>
                <w:bCs w:val="0"/>
                <w:color w:val="auto"/>
                <w:kern w:val="0"/>
                <w:sz w:val="24"/>
                <w:szCs w:val="24"/>
                <w:highlight w:val="none"/>
                <w:lang w:eastAsia="zh-CN"/>
              </w:rPr>
              <w:t>。</w:t>
            </w:r>
          </w:p>
        </w:tc>
        <w:tc>
          <w:tcPr>
            <w:tcW w:w="998" w:type="dxa"/>
            <w:shd w:val="clear" w:color="auto" w:fill="auto"/>
            <w:noWrap w:val="0"/>
            <w:vAlign w:val="center"/>
          </w:tcPr>
          <w:p w14:paraId="162A155A">
            <w:pPr>
              <w:widowControl/>
              <w:jc w:val="center"/>
              <w:rPr>
                <w:rFonts w:hint="default" w:ascii="宋体" w:hAnsi="宋体" w:eastAsia="宋体" w:cs="宋体"/>
                <w:b w:val="0"/>
                <w:bCs w:val="0"/>
                <w:color w:val="auto"/>
                <w:kern w:val="0"/>
                <w:sz w:val="24"/>
                <w:szCs w:val="24"/>
                <w:highlight w:val="none"/>
                <w:lang w:val="en-US" w:eastAsia="zh-CN" w:bidi="ar-SA"/>
              </w:rPr>
            </w:pPr>
            <w:r>
              <w:rPr>
                <w:rFonts w:hint="eastAsia" w:ascii="宋体" w:hAnsi="宋体" w:cs="宋体"/>
                <w:b w:val="0"/>
                <w:bCs w:val="0"/>
                <w:color w:val="auto"/>
                <w:kern w:val="0"/>
                <w:sz w:val="24"/>
                <w:szCs w:val="24"/>
                <w:highlight w:val="none"/>
                <w:lang w:val="en-US" w:eastAsia="zh-CN"/>
              </w:rPr>
              <w:t>1分</w:t>
            </w:r>
          </w:p>
        </w:tc>
      </w:tr>
      <w:tr w14:paraId="554B8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88" w:type="dxa"/>
            <w:shd w:val="clear" w:color="auto" w:fill="auto"/>
            <w:noWrap w:val="0"/>
            <w:vAlign w:val="center"/>
          </w:tcPr>
          <w:p w14:paraId="06FFABF8">
            <w:pPr>
              <w:keepNext w:val="0"/>
              <w:keepLines w:val="0"/>
              <w:widowControl/>
              <w:suppressLineNumbers w:val="0"/>
              <w:jc w:val="center"/>
              <w:textAlignment w:val="center"/>
              <w:rPr>
                <w:rFonts w:hint="default" w:ascii="仿宋" w:hAnsi="仿宋" w:eastAsia="仿宋" w:cs="宋体"/>
                <w:b w:val="0"/>
                <w:bCs w:val="0"/>
                <w:color w:val="auto"/>
                <w:kern w:val="0"/>
                <w:sz w:val="24"/>
                <w:szCs w:val="24"/>
                <w:highlight w:val="none"/>
                <w:lang w:val="en-US" w:eastAsia="zh-CN" w:bidi="ar-SA"/>
              </w:rPr>
            </w:pPr>
            <w:bookmarkStart w:id="37" w:name="OLE_LINK29" w:colFirst="2" w:colLast="3"/>
            <w:r>
              <w:rPr>
                <w:rFonts w:hint="eastAsia" w:ascii="仿宋" w:hAnsi="仿宋" w:eastAsia="仿宋" w:cs="宋体"/>
                <w:b w:val="0"/>
                <w:bCs w:val="0"/>
                <w:color w:val="auto"/>
                <w:kern w:val="0"/>
                <w:sz w:val="24"/>
                <w:szCs w:val="24"/>
                <w:highlight w:val="none"/>
                <w:lang w:val="en-US" w:eastAsia="zh-CN" w:bidi="ar-SA"/>
              </w:rPr>
              <w:t>24</w:t>
            </w:r>
          </w:p>
        </w:tc>
        <w:tc>
          <w:tcPr>
            <w:tcW w:w="969" w:type="dxa"/>
            <w:vMerge w:val="continue"/>
            <w:noWrap w:val="0"/>
            <w:vAlign w:val="center"/>
          </w:tcPr>
          <w:p w14:paraId="7D283E77">
            <w:pPr>
              <w:widowControl/>
              <w:jc w:val="center"/>
              <w:rPr>
                <w:rFonts w:hint="eastAsia" w:ascii="宋体" w:hAnsi="宋体" w:cs="宋体"/>
                <w:b w:val="0"/>
                <w:bCs w:val="0"/>
                <w:color w:val="auto"/>
                <w:kern w:val="0"/>
                <w:sz w:val="24"/>
                <w:szCs w:val="24"/>
                <w:highlight w:val="none"/>
                <w:lang w:val="en-US" w:eastAsia="zh-CN"/>
              </w:rPr>
            </w:pPr>
          </w:p>
        </w:tc>
        <w:tc>
          <w:tcPr>
            <w:tcW w:w="6301" w:type="dxa"/>
            <w:shd w:val="clear" w:color="auto" w:fill="auto"/>
            <w:noWrap w:val="0"/>
            <w:vAlign w:val="center"/>
          </w:tcPr>
          <w:p w14:paraId="61EB5472">
            <w:pPr>
              <w:widowControl/>
              <w:jc w:val="left"/>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spacing w:val="-2"/>
                <w:sz w:val="24"/>
                <w:szCs w:val="24"/>
                <w:highlight w:val="none"/>
                <w:lang w:val="en-US" w:eastAsia="zh-CN"/>
              </w:rPr>
              <w:t>代理机构工作人员及其代理项目的评标（评审）专家</w:t>
            </w:r>
            <w:r>
              <w:rPr>
                <w:rFonts w:hint="eastAsia" w:ascii="宋体" w:hAnsi="宋体" w:eastAsia="宋体" w:cs="宋体"/>
                <w:b w:val="0"/>
                <w:bCs w:val="0"/>
                <w:color w:val="auto"/>
                <w:spacing w:val="-2"/>
                <w:sz w:val="24"/>
                <w:szCs w:val="24"/>
                <w:highlight w:val="none"/>
              </w:rPr>
              <w:t>评标过程中</w:t>
            </w:r>
            <w:r>
              <w:rPr>
                <w:rFonts w:hint="eastAsia" w:ascii="宋体" w:hAnsi="宋体" w:eastAsia="宋体" w:cs="宋体"/>
                <w:b w:val="0"/>
                <w:bCs w:val="0"/>
                <w:color w:val="auto"/>
                <w:spacing w:val="-2"/>
                <w:sz w:val="24"/>
                <w:szCs w:val="24"/>
                <w:highlight w:val="none"/>
                <w:lang w:eastAsia="zh-CN"/>
              </w:rPr>
              <w:t>未</w:t>
            </w:r>
            <w:r>
              <w:rPr>
                <w:rFonts w:hint="eastAsia" w:ascii="宋体" w:hAnsi="宋体" w:eastAsia="宋体" w:cs="宋体"/>
                <w:b w:val="0"/>
                <w:bCs w:val="0"/>
                <w:color w:val="auto"/>
                <w:spacing w:val="-2"/>
                <w:sz w:val="24"/>
                <w:szCs w:val="24"/>
                <w:highlight w:val="none"/>
              </w:rPr>
              <w:t>按规定佩戴电子标签</w:t>
            </w:r>
            <w:r>
              <w:rPr>
                <w:rFonts w:hint="eastAsia" w:ascii="宋体" w:hAnsi="宋体" w:eastAsia="宋体" w:cs="宋体"/>
                <w:b w:val="0"/>
                <w:bCs w:val="0"/>
                <w:color w:val="auto"/>
                <w:spacing w:val="-2"/>
                <w:sz w:val="24"/>
                <w:szCs w:val="24"/>
                <w:highlight w:val="none"/>
                <w:lang w:val="en-US" w:eastAsia="zh-CN"/>
              </w:rPr>
              <w:t>卡</w:t>
            </w:r>
            <w:r>
              <w:rPr>
                <w:rFonts w:hint="eastAsia" w:ascii="宋体" w:hAnsi="宋体" w:eastAsia="宋体" w:cs="宋体"/>
                <w:b w:val="0"/>
                <w:bCs w:val="0"/>
                <w:color w:val="auto"/>
                <w:spacing w:val="-2"/>
                <w:sz w:val="24"/>
                <w:szCs w:val="24"/>
                <w:highlight w:val="none"/>
                <w:lang w:eastAsia="zh-CN"/>
              </w:rPr>
              <w:t>的。</w:t>
            </w:r>
          </w:p>
        </w:tc>
        <w:tc>
          <w:tcPr>
            <w:tcW w:w="998" w:type="dxa"/>
            <w:shd w:val="clear" w:color="auto" w:fill="auto"/>
            <w:noWrap w:val="0"/>
            <w:vAlign w:val="center"/>
          </w:tcPr>
          <w:p w14:paraId="121D3063">
            <w:pPr>
              <w:widowControl/>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rPr>
              <w:t>1分/人</w:t>
            </w:r>
          </w:p>
        </w:tc>
      </w:tr>
      <w:bookmarkEnd w:id="37"/>
      <w:tr w14:paraId="5E1EF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88" w:type="dxa"/>
            <w:shd w:val="clear" w:color="auto" w:fill="auto"/>
            <w:noWrap w:val="0"/>
            <w:vAlign w:val="center"/>
          </w:tcPr>
          <w:p w14:paraId="06A5038D">
            <w:pPr>
              <w:keepNext w:val="0"/>
              <w:keepLines w:val="0"/>
              <w:widowControl/>
              <w:suppressLineNumbers w:val="0"/>
              <w:jc w:val="center"/>
              <w:textAlignment w:val="center"/>
              <w:rPr>
                <w:rFonts w:hint="default" w:ascii="仿宋" w:hAnsi="仿宋" w:eastAsia="仿宋" w:cs="宋体"/>
                <w:b w:val="0"/>
                <w:bCs w:val="0"/>
                <w:color w:val="auto"/>
                <w:kern w:val="0"/>
                <w:sz w:val="24"/>
                <w:szCs w:val="24"/>
                <w:highlight w:val="none"/>
                <w:lang w:val="en-US" w:eastAsia="zh-CN" w:bidi="ar-SA"/>
              </w:rPr>
            </w:pPr>
            <w:r>
              <w:rPr>
                <w:rFonts w:hint="eastAsia" w:ascii="仿宋" w:hAnsi="仿宋" w:eastAsia="仿宋" w:cs="宋体"/>
                <w:b w:val="0"/>
                <w:bCs w:val="0"/>
                <w:color w:val="auto"/>
                <w:kern w:val="0"/>
                <w:sz w:val="24"/>
                <w:szCs w:val="24"/>
                <w:highlight w:val="none"/>
                <w:lang w:val="en-US" w:eastAsia="zh-CN" w:bidi="ar-SA"/>
              </w:rPr>
              <w:t>25</w:t>
            </w:r>
          </w:p>
        </w:tc>
        <w:tc>
          <w:tcPr>
            <w:tcW w:w="969" w:type="dxa"/>
            <w:vMerge w:val="continue"/>
            <w:noWrap w:val="0"/>
            <w:vAlign w:val="center"/>
          </w:tcPr>
          <w:p w14:paraId="4F58714B">
            <w:pPr>
              <w:widowControl/>
              <w:jc w:val="center"/>
              <w:rPr>
                <w:rFonts w:hint="eastAsia" w:ascii="宋体" w:hAnsi="宋体" w:cs="宋体"/>
                <w:b w:val="0"/>
                <w:bCs w:val="0"/>
                <w:color w:val="auto"/>
                <w:kern w:val="0"/>
                <w:sz w:val="24"/>
                <w:szCs w:val="24"/>
                <w:highlight w:val="none"/>
                <w:lang w:val="en-US" w:eastAsia="zh-CN"/>
              </w:rPr>
            </w:pPr>
          </w:p>
        </w:tc>
        <w:tc>
          <w:tcPr>
            <w:tcW w:w="6301" w:type="dxa"/>
            <w:shd w:val="clear" w:color="auto" w:fill="auto"/>
            <w:noWrap w:val="0"/>
            <w:vAlign w:val="center"/>
          </w:tcPr>
          <w:p w14:paraId="0FF4DE8D">
            <w:pPr>
              <w:widowControl/>
              <w:jc w:val="left"/>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rPr>
              <w:t>因工作失误，出现开评标数据计算、统计错误的</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lang w:val="en-US" w:eastAsia="zh-CN"/>
              </w:rPr>
              <w:t>如保证金确认、评标办法确认等</w:t>
            </w:r>
            <w:r>
              <w:rPr>
                <w:rFonts w:hint="eastAsia" w:ascii="宋体" w:hAnsi="宋体" w:cs="宋体"/>
                <w:b w:val="0"/>
                <w:bCs w:val="0"/>
                <w:color w:val="auto"/>
                <w:kern w:val="0"/>
                <w:sz w:val="24"/>
                <w:szCs w:val="24"/>
                <w:highlight w:val="none"/>
                <w:lang w:eastAsia="zh-CN"/>
              </w:rPr>
              <w:t>。</w:t>
            </w:r>
          </w:p>
        </w:tc>
        <w:tc>
          <w:tcPr>
            <w:tcW w:w="998" w:type="dxa"/>
            <w:shd w:val="clear" w:color="auto" w:fill="auto"/>
            <w:noWrap w:val="0"/>
            <w:vAlign w:val="center"/>
          </w:tcPr>
          <w:p w14:paraId="63CB1AC5">
            <w:pPr>
              <w:widowControl/>
              <w:jc w:val="center"/>
              <w:rPr>
                <w:rFonts w:hint="default"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rPr>
              <w:t>1</w:t>
            </w:r>
            <w:r>
              <w:rPr>
                <w:rFonts w:hint="eastAsia" w:ascii="宋体" w:hAnsi="宋体" w:eastAsia="宋体" w:cs="宋体"/>
                <w:b w:val="0"/>
                <w:bCs w:val="0"/>
                <w:color w:val="auto"/>
                <w:kern w:val="0"/>
                <w:sz w:val="24"/>
                <w:szCs w:val="24"/>
                <w:highlight w:val="none"/>
              </w:rPr>
              <w:t>分</w:t>
            </w:r>
          </w:p>
        </w:tc>
      </w:tr>
      <w:tr w14:paraId="516F6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88" w:type="dxa"/>
            <w:shd w:val="clear" w:color="auto" w:fill="auto"/>
            <w:noWrap w:val="0"/>
            <w:vAlign w:val="center"/>
          </w:tcPr>
          <w:p w14:paraId="521F2BB6">
            <w:pPr>
              <w:keepNext w:val="0"/>
              <w:keepLines w:val="0"/>
              <w:widowControl/>
              <w:suppressLineNumbers w:val="0"/>
              <w:jc w:val="center"/>
              <w:textAlignment w:val="center"/>
              <w:rPr>
                <w:rFonts w:hint="default" w:ascii="仿宋" w:hAnsi="仿宋" w:eastAsia="仿宋" w:cs="宋体"/>
                <w:b w:val="0"/>
                <w:bCs w:val="0"/>
                <w:color w:val="auto"/>
                <w:kern w:val="0"/>
                <w:sz w:val="24"/>
                <w:szCs w:val="24"/>
                <w:highlight w:val="none"/>
                <w:lang w:val="en-US" w:eastAsia="zh-CN" w:bidi="ar-SA"/>
              </w:rPr>
            </w:pPr>
            <w:r>
              <w:rPr>
                <w:rFonts w:hint="eastAsia" w:ascii="仿宋" w:hAnsi="仿宋" w:eastAsia="仿宋" w:cs="宋体"/>
                <w:b w:val="0"/>
                <w:bCs w:val="0"/>
                <w:color w:val="auto"/>
                <w:kern w:val="0"/>
                <w:sz w:val="24"/>
                <w:szCs w:val="24"/>
                <w:highlight w:val="none"/>
                <w:lang w:val="en-US" w:eastAsia="zh-CN" w:bidi="ar-SA"/>
              </w:rPr>
              <w:t>26</w:t>
            </w:r>
          </w:p>
        </w:tc>
        <w:tc>
          <w:tcPr>
            <w:tcW w:w="969" w:type="dxa"/>
            <w:vMerge w:val="continue"/>
            <w:noWrap w:val="0"/>
            <w:vAlign w:val="center"/>
          </w:tcPr>
          <w:p w14:paraId="0C6B4FB8">
            <w:pPr>
              <w:widowControl/>
              <w:jc w:val="center"/>
              <w:rPr>
                <w:rFonts w:hint="eastAsia" w:ascii="宋体" w:hAnsi="宋体" w:cs="宋体"/>
                <w:b w:val="0"/>
                <w:bCs w:val="0"/>
                <w:color w:val="auto"/>
                <w:kern w:val="0"/>
                <w:sz w:val="24"/>
                <w:szCs w:val="24"/>
                <w:highlight w:val="none"/>
                <w:lang w:val="en-US" w:eastAsia="zh-CN"/>
              </w:rPr>
            </w:pPr>
          </w:p>
        </w:tc>
        <w:tc>
          <w:tcPr>
            <w:tcW w:w="6301" w:type="dxa"/>
            <w:shd w:val="clear" w:color="auto" w:fill="auto"/>
            <w:noWrap w:val="0"/>
            <w:vAlign w:val="center"/>
          </w:tcPr>
          <w:p w14:paraId="40E96CB4">
            <w:pPr>
              <w:widowControl/>
              <w:jc w:val="left"/>
              <w:rPr>
                <w:rFonts w:hint="eastAsia" w:ascii="宋体" w:hAnsi="宋体" w:eastAsia="宋体" w:cs="宋体"/>
                <w:b w:val="0"/>
                <w:bCs w:val="0"/>
                <w:color w:val="auto"/>
                <w:kern w:val="0"/>
                <w:sz w:val="24"/>
                <w:szCs w:val="24"/>
                <w:highlight w:val="none"/>
                <w:lang w:val="en-US" w:eastAsia="zh-CN" w:bidi="ar-SA"/>
              </w:rPr>
            </w:pPr>
            <w:bookmarkStart w:id="38" w:name="OLE_LINK28"/>
            <w:r>
              <w:rPr>
                <w:rFonts w:hint="eastAsia" w:ascii="宋体" w:hAnsi="宋体" w:cs="宋体"/>
                <w:b w:val="0"/>
                <w:bCs w:val="0"/>
                <w:color w:val="auto"/>
                <w:kern w:val="0"/>
                <w:sz w:val="24"/>
                <w:szCs w:val="24"/>
                <w:highlight w:val="none"/>
                <w:lang w:val="en-US" w:eastAsia="zh-CN"/>
              </w:rPr>
              <w:t>私自</w:t>
            </w:r>
            <w:r>
              <w:rPr>
                <w:rFonts w:hint="eastAsia" w:ascii="宋体" w:hAnsi="宋体" w:eastAsia="宋体" w:cs="宋体"/>
                <w:b w:val="0"/>
                <w:bCs w:val="0"/>
                <w:color w:val="auto"/>
                <w:kern w:val="0"/>
                <w:sz w:val="24"/>
                <w:szCs w:val="24"/>
                <w:highlight w:val="none"/>
              </w:rPr>
              <w:t>与外界联系</w:t>
            </w:r>
            <w:r>
              <w:rPr>
                <w:rFonts w:hint="eastAsia" w:ascii="宋体" w:hAnsi="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rPr>
              <w:t>未按</w:t>
            </w:r>
            <w:r>
              <w:rPr>
                <w:rFonts w:hint="eastAsia" w:ascii="宋体" w:hAnsi="宋体" w:eastAsia="宋体" w:cs="宋体"/>
                <w:b w:val="0"/>
                <w:bCs w:val="0"/>
                <w:color w:val="auto"/>
                <w:kern w:val="0"/>
                <w:sz w:val="24"/>
                <w:szCs w:val="24"/>
                <w:highlight w:val="none"/>
              </w:rPr>
              <w:t>评标</w:t>
            </w:r>
            <w:r>
              <w:rPr>
                <w:rFonts w:hint="eastAsia" w:ascii="宋体" w:hAnsi="宋体" w:eastAsia="宋体" w:cs="宋体"/>
                <w:b w:val="0"/>
                <w:bCs w:val="0"/>
                <w:color w:val="auto"/>
                <w:kern w:val="0"/>
                <w:sz w:val="24"/>
                <w:szCs w:val="24"/>
                <w:highlight w:val="none"/>
              </w:rPr>
              <w:t>操作规程要求或不服从交易中心工作人员指引管理的</w:t>
            </w:r>
            <w:r>
              <w:rPr>
                <w:rFonts w:hint="eastAsia" w:ascii="宋体" w:hAnsi="宋体" w:cs="宋体"/>
                <w:b w:val="0"/>
                <w:bCs w:val="0"/>
                <w:color w:val="auto"/>
                <w:kern w:val="0"/>
                <w:sz w:val="24"/>
                <w:szCs w:val="24"/>
                <w:highlight w:val="none"/>
                <w:lang w:eastAsia="zh-CN"/>
              </w:rPr>
              <w:t>。</w:t>
            </w:r>
            <w:bookmarkEnd w:id="38"/>
          </w:p>
        </w:tc>
        <w:tc>
          <w:tcPr>
            <w:tcW w:w="998" w:type="dxa"/>
            <w:shd w:val="clear" w:color="auto" w:fill="auto"/>
            <w:noWrap w:val="0"/>
            <w:vAlign w:val="center"/>
          </w:tcPr>
          <w:p w14:paraId="08AE16B5">
            <w:pPr>
              <w:widowControl/>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cs="宋体"/>
                <w:b w:val="0"/>
                <w:bCs w:val="0"/>
                <w:color w:val="auto"/>
                <w:kern w:val="0"/>
                <w:sz w:val="24"/>
                <w:szCs w:val="24"/>
                <w:highlight w:val="none"/>
                <w:lang w:val="en-US" w:eastAsia="zh-CN"/>
              </w:rPr>
              <w:t>2分</w:t>
            </w:r>
          </w:p>
        </w:tc>
      </w:tr>
      <w:tr w14:paraId="231E7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88" w:type="dxa"/>
            <w:shd w:val="clear" w:color="auto" w:fill="auto"/>
            <w:noWrap w:val="0"/>
            <w:vAlign w:val="center"/>
          </w:tcPr>
          <w:p w14:paraId="3535DFE2">
            <w:pPr>
              <w:keepNext w:val="0"/>
              <w:keepLines w:val="0"/>
              <w:widowControl/>
              <w:suppressLineNumbers w:val="0"/>
              <w:jc w:val="center"/>
              <w:textAlignment w:val="center"/>
              <w:rPr>
                <w:rFonts w:hint="default" w:ascii="仿宋" w:hAnsi="仿宋" w:eastAsia="仿宋" w:cs="宋体"/>
                <w:b w:val="0"/>
                <w:bCs w:val="0"/>
                <w:color w:val="auto"/>
                <w:kern w:val="0"/>
                <w:sz w:val="24"/>
                <w:szCs w:val="24"/>
                <w:highlight w:val="none"/>
                <w:lang w:val="en-US" w:eastAsia="zh-CN" w:bidi="ar-SA"/>
              </w:rPr>
            </w:pPr>
            <w:r>
              <w:rPr>
                <w:rFonts w:hint="eastAsia" w:ascii="仿宋" w:hAnsi="仿宋" w:eastAsia="仿宋" w:cs="宋体"/>
                <w:b w:val="0"/>
                <w:bCs w:val="0"/>
                <w:color w:val="auto"/>
                <w:kern w:val="0"/>
                <w:sz w:val="24"/>
                <w:szCs w:val="24"/>
                <w:highlight w:val="none"/>
                <w:lang w:val="en-US" w:eastAsia="zh-CN" w:bidi="ar-SA"/>
              </w:rPr>
              <w:t>27</w:t>
            </w:r>
          </w:p>
        </w:tc>
        <w:tc>
          <w:tcPr>
            <w:tcW w:w="969" w:type="dxa"/>
            <w:vMerge w:val="continue"/>
            <w:noWrap w:val="0"/>
            <w:vAlign w:val="center"/>
          </w:tcPr>
          <w:p w14:paraId="59CBE86A">
            <w:pPr>
              <w:widowControl/>
              <w:jc w:val="center"/>
              <w:rPr>
                <w:rFonts w:hint="eastAsia" w:ascii="宋体" w:hAnsi="宋体" w:cs="宋体"/>
                <w:b w:val="0"/>
                <w:bCs w:val="0"/>
                <w:color w:val="auto"/>
                <w:kern w:val="0"/>
                <w:sz w:val="24"/>
                <w:szCs w:val="24"/>
                <w:highlight w:val="none"/>
                <w:lang w:val="en-US" w:eastAsia="zh-CN"/>
              </w:rPr>
            </w:pPr>
          </w:p>
        </w:tc>
        <w:tc>
          <w:tcPr>
            <w:tcW w:w="6301" w:type="dxa"/>
            <w:shd w:val="clear" w:color="auto" w:fill="auto"/>
            <w:noWrap w:val="0"/>
            <w:vAlign w:val="center"/>
          </w:tcPr>
          <w:p w14:paraId="131BA0F6">
            <w:pPr>
              <w:widowControl/>
              <w:jc w:val="left"/>
              <w:rPr>
                <w:rFonts w:hint="eastAsia" w:ascii="宋体" w:hAnsi="宋体" w:eastAsia="宋体" w:cs="宋体"/>
                <w:b w:val="0"/>
                <w:bCs w:val="0"/>
                <w:color w:val="auto"/>
                <w:kern w:val="0"/>
                <w:sz w:val="24"/>
                <w:szCs w:val="24"/>
                <w:highlight w:val="none"/>
                <w:lang w:val="en-US" w:eastAsia="zh-CN" w:bidi="ar-SA"/>
              </w:rPr>
            </w:pPr>
            <w:r>
              <w:rPr>
                <w:rFonts w:hint="eastAsia" w:ascii="宋体" w:hAnsi="宋体" w:cs="宋体"/>
                <w:b w:val="0"/>
                <w:bCs w:val="0"/>
                <w:color w:val="auto"/>
                <w:kern w:val="0"/>
                <w:sz w:val="24"/>
                <w:szCs w:val="24"/>
                <w:highlight w:val="none"/>
                <w:lang w:val="en-US" w:eastAsia="zh-CN"/>
              </w:rPr>
              <w:t>未到指定用餐室用餐，随意在评标室用餐的。</w:t>
            </w:r>
          </w:p>
        </w:tc>
        <w:tc>
          <w:tcPr>
            <w:tcW w:w="998" w:type="dxa"/>
            <w:shd w:val="clear" w:color="auto" w:fill="auto"/>
            <w:noWrap w:val="0"/>
            <w:vAlign w:val="center"/>
          </w:tcPr>
          <w:p w14:paraId="7F63BBE6">
            <w:pPr>
              <w:widowControl/>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rPr>
              <w:t>1</w:t>
            </w:r>
            <w:r>
              <w:rPr>
                <w:rFonts w:hint="eastAsia" w:ascii="宋体" w:hAnsi="宋体" w:eastAsia="宋体" w:cs="宋体"/>
                <w:b w:val="0"/>
                <w:bCs w:val="0"/>
                <w:color w:val="auto"/>
                <w:kern w:val="0"/>
                <w:sz w:val="24"/>
                <w:szCs w:val="24"/>
                <w:highlight w:val="none"/>
              </w:rPr>
              <w:t>分</w:t>
            </w:r>
          </w:p>
        </w:tc>
      </w:tr>
      <w:tr w14:paraId="03E36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88" w:type="dxa"/>
            <w:shd w:val="clear" w:color="auto" w:fill="auto"/>
            <w:noWrap w:val="0"/>
            <w:vAlign w:val="center"/>
          </w:tcPr>
          <w:p w14:paraId="2261B999">
            <w:pPr>
              <w:keepNext w:val="0"/>
              <w:keepLines w:val="0"/>
              <w:widowControl/>
              <w:suppressLineNumbers w:val="0"/>
              <w:jc w:val="center"/>
              <w:textAlignment w:val="center"/>
              <w:rPr>
                <w:rFonts w:hint="default" w:ascii="仿宋" w:hAnsi="仿宋" w:eastAsia="仿宋" w:cs="宋体"/>
                <w:b w:val="0"/>
                <w:bCs w:val="0"/>
                <w:color w:val="auto"/>
                <w:kern w:val="0"/>
                <w:sz w:val="24"/>
                <w:szCs w:val="24"/>
                <w:highlight w:val="none"/>
                <w:lang w:val="en-US" w:eastAsia="zh-CN" w:bidi="ar-SA"/>
              </w:rPr>
            </w:pPr>
            <w:r>
              <w:rPr>
                <w:rFonts w:hint="eastAsia" w:ascii="仿宋" w:hAnsi="仿宋" w:eastAsia="仿宋" w:cs="宋体"/>
                <w:b w:val="0"/>
                <w:bCs w:val="0"/>
                <w:color w:val="auto"/>
                <w:kern w:val="0"/>
                <w:sz w:val="24"/>
                <w:szCs w:val="24"/>
                <w:highlight w:val="none"/>
                <w:lang w:val="en-US" w:eastAsia="zh-CN" w:bidi="ar-SA"/>
              </w:rPr>
              <w:t>28</w:t>
            </w:r>
          </w:p>
        </w:tc>
        <w:tc>
          <w:tcPr>
            <w:tcW w:w="969" w:type="dxa"/>
            <w:vMerge w:val="restart"/>
            <w:noWrap w:val="0"/>
            <w:vAlign w:val="center"/>
          </w:tcPr>
          <w:p w14:paraId="3AB11F3F">
            <w:pPr>
              <w:widowControl/>
              <w:jc w:val="center"/>
              <w:rPr>
                <w:rFonts w:hint="default" w:ascii="宋体" w:hAnsi="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标后</w:t>
            </w:r>
          </w:p>
        </w:tc>
        <w:tc>
          <w:tcPr>
            <w:tcW w:w="6301" w:type="dxa"/>
            <w:noWrap w:val="0"/>
            <w:vAlign w:val="center"/>
          </w:tcPr>
          <w:p w14:paraId="2A84177B">
            <w:pPr>
              <w:widowControl/>
              <w:jc w:val="left"/>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lang w:val="en-US" w:eastAsia="zh-CN"/>
              </w:rPr>
              <w:t>评</w:t>
            </w:r>
            <w:r>
              <w:rPr>
                <w:rFonts w:hint="eastAsia" w:ascii="宋体" w:hAnsi="宋体" w:eastAsia="宋体" w:cs="宋体"/>
                <w:b w:val="0"/>
                <w:bCs w:val="0"/>
                <w:color w:val="auto"/>
                <w:kern w:val="0"/>
                <w:sz w:val="24"/>
                <w:szCs w:val="24"/>
                <w:highlight w:val="none"/>
              </w:rPr>
              <w:t>标后未在规定时间内发布中标候选人公示的</w:t>
            </w:r>
            <w:r>
              <w:rPr>
                <w:rFonts w:hint="eastAsia" w:ascii="宋体" w:hAnsi="宋体" w:eastAsia="宋体" w:cs="宋体"/>
                <w:b w:val="0"/>
                <w:bCs w:val="0"/>
                <w:color w:val="auto"/>
                <w:kern w:val="0"/>
                <w:sz w:val="24"/>
                <w:szCs w:val="24"/>
                <w:highlight w:val="none"/>
                <w:lang w:eastAsia="zh-CN"/>
              </w:rPr>
              <w:t>。</w:t>
            </w:r>
          </w:p>
        </w:tc>
        <w:tc>
          <w:tcPr>
            <w:tcW w:w="998" w:type="dxa"/>
            <w:noWrap w:val="0"/>
            <w:vAlign w:val="center"/>
          </w:tcPr>
          <w:p w14:paraId="5F298D17">
            <w:pPr>
              <w:widowControl/>
              <w:jc w:val="center"/>
              <w:rPr>
                <w:rFonts w:hint="eastAsia" w:ascii="宋体" w:hAnsi="宋体" w:eastAsia="宋体" w:cs="宋体"/>
                <w:b w:val="0"/>
                <w:bCs w:val="0"/>
                <w:color w:val="auto"/>
                <w:kern w:val="0"/>
                <w:sz w:val="24"/>
                <w:szCs w:val="24"/>
                <w:highlight w:val="none"/>
              </w:rPr>
            </w:pPr>
            <w:r>
              <w:rPr>
                <w:rFonts w:hint="eastAsia" w:ascii="宋体" w:hAnsi="宋体" w:cs="宋体"/>
                <w:b w:val="0"/>
                <w:bCs w:val="0"/>
                <w:color w:val="auto"/>
                <w:kern w:val="0"/>
                <w:sz w:val="24"/>
                <w:szCs w:val="24"/>
                <w:highlight w:val="none"/>
                <w:lang w:val="en-US" w:eastAsia="zh-CN"/>
              </w:rPr>
              <w:t>1分</w:t>
            </w:r>
          </w:p>
        </w:tc>
      </w:tr>
      <w:tr w14:paraId="5809E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88" w:type="dxa"/>
            <w:shd w:val="clear" w:color="auto" w:fill="auto"/>
            <w:noWrap w:val="0"/>
            <w:vAlign w:val="center"/>
          </w:tcPr>
          <w:p w14:paraId="6CDBCB02">
            <w:pPr>
              <w:keepNext w:val="0"/>
              <w:keepLines w:val="0"/>
              <w:widowControl/>
              <w:suppressLineNumbers w:val="0"/>
              <w:jc w:val="center"/>
              <w:textAlignment w:val="center"/>
              <w:rPr>
                <w:rFonts w:hint="default" w:ascii="仿宋" w:hAnsi="仿宋" w:eastAsia="仿宋" w:cs="宋体"/>
                <w:b w:val="0"/>
                <w:bCs w:val="0"/>
                <w:color w:val="auto"/>
                <w:kern w:val="0"/>
                <w:sz w:val="24"/>
                <w:szCs w:val="24"/>
                <w:highlight w:val="none"/>
                <w:lang w:val="en-US" w:eastAsia="zh-CN" w:bidi="ar-SA"/>
              </w:rPr>
            </w:pPr>
            <w:r>
              <w:rPr>
                <w:rFonts w:hint="eastAsia" w:ascii="仿宋" w:hAnsi="仿宋" w:eastAsia="仿宋" w:cs="宋体"/>
                <w:b w:val="0"/>
                <w:bCs w:val="0"/>
                <w:color w:val="auto"/>
                <w:kern w:val="0"/>
                <w:sz w:val="24"/>
                <w:szCs w:val="24"/>
                <w:highlight w:val="none"/>
                <w:lang w:val="en-US" w:eastAsia="zh-CN" w:bidi="ar-SA"/>
              </w:rPr>
              <w:t>29</w:t>
            </w:r>
          </w:p>
        </w:tc>
        <w:tc>
          <w:tcPr>
            <w:tcW w:w="969" w:type="dxa"/>
            <w:vMerge w:val="continue"/>
            <w:noWrap w:val="0"/>
            <w:vAlign w:val="center"/>
          </w:tcPr>
          <w:p w14:paraId="2AD5B2B7">
            <w:pPr>
              <w:widowControl/>
              <w:jc w:val="center"/>
              <w:rPr>
                <w:rFonts w:hint="eastAsia" w:ascii="宋体" w:hAnsi="宋体" w:cs="宋体"/>
                <w:b w:val="0"/>
                <w:bCs w:val="0"/>
                <w:color w:val="auto"/>
                <w:kern w:val="0"/>
                <w:sz w:val="24"/>
                <w:szCs w:val="24"/>
                <w:highlight w:val="none"/>
                <w:lang w:val="en-US" w:eastAsia="zh-CN"/>
              </w:rPr>
            </w:pPr>
          </w:p>
        </w:tc>
        <w:tc>
          <w:tcPr>
            <w:tcW w:w="6301" w:type="dxa"/>
            <w:noWrap w:val="0"/>
            <w:vAlign w:val="center"/>
          </w:tcPr>
          <w:p w14:paraId="54821B72">
            <w:pPr>
              <w:widowControl/>
              <w:jc w:val="left"/>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rPr>
              <w:t>发布的中标候选人公示</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lang w:val="en-US" w:eastAsia="zh-CN"/>
              </w:rPr>
              <w:t>中标公告内容不完整、不准确的。</w:t>
            </w:r>
          </w:p>
        </w:tc>
        <w:tc>
          <w:tcPr>
            <w:tcW w:w="998" w:type="dxa"/>
            <w:noWrap w:val="0"/>
            <w:vAlign w:val="center"/>
          </w:tcPr>
          <w:p w14:paraId="1CB4D5B6">
            <w:pPr>
              <w:widowControl/>
              <w:jc w:val="center"/>
              <w:rPr>
                <w:rFonts w:hint="eastAsia" w:ascii="宋体" w:hAnsi="宋体" w:eastAsia="宋体" w:cs="宋体"/>
                <w:b w:val="0"/>
                <w:bCs w:val="0"/>
                <w:color w:val="auto"/>
                <w:kern w:val="0"/>
                <w:sz w:val="24"/>
                <w:szCs w:val="24"/>
                <w:highlight w:val="none"/>
              </w:rPr>
            </w:pPr>
            <w:r>
              <w:rPr>
                <w:rFonts w:hint="eastAsia" w:ascii="宋体" w:hAnsi="宋体" w:cs="宋体"/>
                <w:b w:val="0"/>
                <w:bCs w:val="0"/>
                <w:color w:val="auto"/>
                <w:kern w:val="0"/>
                <w:sz w:val="24"/>
                <w:szCs w:val="24"/>
                <w:highlight w:val="none"/>
                <w:lang w:val="en-US" w:eastAsia="zh-CN"/>
              </w:rPr>
              <w:t>1分</w:t>
            </w:r>
          </w:p>
        </w:tc>
      </w:tr>
      <w:tr w14:paraId="236FB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88" w:type="dxa"/>
            <w:shd w:val="clear" w:color="auto" w:fill="auto"/>
            <w:noWrap w:val="0"/>
            <w:vAlign w:val="center"/>
          </w:tcPr>
          <w:p w14:paraId="77E0BB91">
            <w:pPr>
              <w:keepNext w:val="0"/>
              <w:keepLines w:val="0"/>
              <w:widowControl/>
              <w:suppressLineNumbers w:val="0"/>
              <w:jc w:val="center"/>
              <w:textAlignment w:val="center"/>
              <w:rPr>
                <w:rFonts w:hint="default" w:ascii="仿宋" w:hAnsi="仿宋" w:eastAsia="仿宋" w:cs="宋体"/>
                <w:b w:val="0"/>
                <w:bCs w:val="0"/>
                <w:color w:val="auto"/>
                <w:kern w:val="0"/>
                <w:sz w:val="24"/>
                <w:szCs w:val="24"/>
                <w:highlight w:val="none"/>
                <w:lang w:val="en-US" w:eastAsia="zh-CN" w:bidi="ar-SA"/>
              </w:rPr>
            </w:pPr>
            <w:r>
              <w:rPr>
                <w:rFonts w:hint="eastAsia" w:ascii="仿宋" w:hAnsi="仿宋" w:eastAsia="仿宋" w:cs="宋体"/>
                <w:b w:val="0"/>
                <w:bCs w:val="0"/>
                <w:color w:val="auto"/>
                <w:kern w:val="0"/>
                <w:sz w:val="24"/>
                <w:szCs w:val="24"/>
                <w:highlight w:val="none"/>
                <w:lang w:val="en-US" w:eastAsia="zh-CN" w:bidi="ar-SA"/>
              </w:rPr>
              <w:t>30</w:t>
            </w:r>
          </w:p>
        </w:tc>
        <w:tc>
          <w:tcPr>
            <w:tcW w:w="969" w:type="dxa"/>
            <w:vMerge w:val="continue"/>
            <w:noWrap w:val="0"/>
            <w:vAlign w:val="center"/>
          </w:tcPr>
          <w:p w14:paraId="58B78CBB">
            <w:pPr>
              <w:widowControl/>
              <w:jc w:val="center"/>
              <w:rPr>
                <w:rFonts w:hint="eastAsia" w:ascii="宋体" w:hAnsi="宋体" w:cs="宋体"/>
                <w:b w:val="0"/>
                <w:bCs w:val="0"/>
                <w:color w:val="auto"/>
                <w:kern w:val="0"/>
                <w:sz w:val="24"/>
                <w:szCs w:val="24"/>
                <w:highlight w:val="none"/>
                <w:lang w:val="en-US" w:eastAsia="zh-CN"/>
              </w:rPr>
            </w:pPr>
          </w:p>
        </w:tc>
        <w:tc>
          <w:tcPr>
            <w:tcW w:w="6301" w:type="dxa"/>
            <w:noWrap w:val="0"/>
            <w:vAlign w:val="center"/>
          </w:tcPr>
          <w:p w14:paraId="4E1B37B7">
            <w:pPr>
              <w:widowControl/>
              <w:jc w:val="left"/>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lang w:val="en-US" w:eastAsia="zh-CN"/>
              </w:rPr>
              <w:t>未</w:t>
            </w:r>
            <w:r>
              <w:rPr>
                <w:rFonts w:hint="eastAsia" w:ascii="宋体" w:hAnsi="宋体" w:eastAsia="宋体" w:cs="宋体"/>
                <w:b w:val="0"/>
                <w:bCs w:val="0"/>
                <w:color w:val="auto"/>
                <w:kern w:val="0"/>
                <w:sz w:val="24"/>
                <w:szCs w:val="24"/>
                <w:highlight w:val="none"/>
              </w:rPr>
              <w:t>征得交易中心同意，擅自组织实施项目重新评审或复议</w:t>
            </w:r>
            <w:r>
              <w:rPr>
                <w:rFonts w:hint="eastAsia" w:ascii="宋体" w:hAnsi="宋体" w:cs="宋体"/>
                <w:b w:val="0"/>
                <w:bCs w:val="0"/>
                <w:color w:val="auto"/>
                <w:kern w:val="0"/>
                <w:sz w:val="24"/>
                <w:szCs w:val="24"/>
                <w:highlight w:val="none"/>
                <w:lang w:eastAsia="zh-CN"/>
              </w:rPr>
              <w:t>。</w:t>
            </w:r>
          </w:p>
        </w:tc>
        <w:tc>
          <w:tcPr>
            <w:tcW w:w="998" w:type="dxa"/>
            <w:noWrap w:val="0"/>
            <w:vAlign w:val="center"/>
          </w:tcPr>
          <w:p w14:paraId="5EA1BC44">
            <w:pPr>
              <w:widowControl/>
              <w:jc w:val="center"/>
              <w:rPr>
                <w:rFonts w:hint="eastAsia" w:ascii="宋体" w:hAnsi="宋体" w:eastAsia="宋体" w:cs="宋体"/>
                <w:b w:val="0"/>
                <w:bCs w:val="0"/>
                <w:color w:val="auto"/>
                <w:kern w:val="0"/>
                <w:sz w:val="24"/>
                <w:szCs w:val="24"/>
                <w:highlight w:val="none"/>
              </w:rPr>
            </w:pPr>
            <w:r>
              <w:rPr>
                <w:rFonts w:hint="eastAsia" w:ascii="宋体" w:hAnsi="宋体" w:cs="宋体"/>
                <w:b w:val="0"/>
                <w:bCs w:val="0"/>
                <w:color w:val="auto"/>
                <w:kern w:val="0"/>
                <w:sz w:val="24"/>
                <w:szCs w:val="24"/>
                <w:highlight w:val="none"/>
                <w:lang w:val="en-US" w:eastAsia="zh-CN"/>
              </w:rPr>
              <w:t>2分</w:t>
            </w:r>
          </w:p>
        </w:tc>
      </w:tr>
      <w:tr w14:paraId="47A82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88" w:type="dxa"/>
            <w:shd w:val="clear" w:color="auto" w:fill="auto"/>
            <w:noWrap w:val="0"/>
            <w:vAlign w:val="center"/>
          </w:tcPr>
          <w:p w14:paraId="405D19E7">
            <w:pPr>
              <w:keepNext w:val="0"/>
              <w:keepLines w:val="0"/>
              <w:widowControl/>
              <w:suppressLineNumbers w:val="0"/>
              <w:jc w:val="center"/>
              <w:textAlignment w:val="center"/>
              <w:rPr>
                <w:rFonts w:hint="default" w:ascii="仿宋" w:hAnsi="仿宋" w:eastAsia="仿宋" w:cs="宋体"/>
                <w:b w:val="0"/>
                <w:bCs w:val="0"/>
                <w:color w:val="auto"/>
                <w:kern w:val="0"/>
                <w:sz w:val="24"/>
                <w:szCs w:val="24"/>
                <w:highlight w:val="none"/>
                <w:lang w:val="en-US" w:eastAsia="zh-CN" w:bidi="ar-SA"/>
              </w:rPr>
            </w:pPr>
            <w:r>
              <w:rPr>
                <w:rFonts w:hint="eastAsia" w:ascii="仿宋" w:hAnsi="仿宋" w:eastAsia="仿宋" w:cs="宋体"/>
                <w:b w:val="0"/>
                <w:bCs w:val="0"/>
                <w:color w:val="auto"/>
                <w:kern w:val="0"/>
                <w:sz w:val="24"/>
                <w:szCs w:val="24"/>
                <w:highlight w:val="none"/>
                <w:lang w:val="en-US" w:eastAsia="zh-CN" w:bidi="ar-SA"/>
              </w:rPr>
              <w:t>31</w:t>
            </w:r>
          </w:p>
        </w:tc>
        <w:tc>
          <w:tcPr>
            <w:tcW w:w="969" w:type="dxa"/>
            <w:vMerge w:val="continue"/>
            <w:noWrap w:val="0"/>
            <w:vAlign w:val="center"/>
          </w:tcPr>
          <w:p w14:paraId="179FA446">
            <w:pPr>
              <w:widowControl/>
              <w:jc w:val="center"/>
              <w:rPr>
                <w:rFonts w:hint="eastAsia" w:ascii="宋体" w:hAnsi="宋体" w:cs="宋体"/>
                <w:b w:val="0"/>
                <w:bCs w:val="0"/>
                <w:color w:val="auto"/>
                <w:kern w:val="0"/>
                <w:sz w:val="24"/>
                <w:szCs w:val="24"/>
                <w:highlight w:val="none"/>
                <w:lang w:val="en-US" w:eastAsia="zh-CN"/>
              </w:rPr>
            </w:pPr>
          </w:p>
        </w:tc>
        <w:tc>
          <w:tcPr>
            <w:tcW w:w="6301" w:type="dxa"/>
            <w:noWrap w:val="0"/>
            <w:vAlign w:val="center"/>
          </w:tcPr>
          <w:p w14:paraId="7D1387AB">
            <w:pPr>
              <w:widowControl/>
              <w:jc w:val="left"/>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rPr>
              <w:t>未按规定标准和方式支付专家报酬的</w:t>
            </w:r>
            <w:r>
              <w:rPr>
                <w:rFonts w:hint="eastAsia" w:ascii="宋体" w:hAnsi="宋体" w:eastAsia="宋体" w:cs="宋体"/>
                <w:b w:val="0"/>
                <w:bCs w:val="0"/>
                <w:color w:val="auto"/>
                <w:kern w:val="0"/>
                <w:sz w:val="24"/>
                <w:szCs w:val="24"/>
                <w:highlight w:val="none"/>
                <w:lang w:eastAsia="zh-CN"/>
              </w:rPr>
              <w:t>。</w:t>
            </w:r>
          </w:p>
        </w:tc>
        <w:tc>
          <w:tcPr>
            <w:tcW w:w="998" w:type="dxa"/>
            <w:noWrap w:val="0"/>
            <w:vAlign w:val="center"/>
          </w:tcPr>
          <w:p w14:paraId="0E529C8E">
            <w:pPr>
              <w:widowControl/>
              <w:jc w:val="center"/>
              <w:rPr>
                <w:rFonts w:hint="eastAsia" w:ascii="宋体" w:hAnsi="宋体" w:eastAsia="宋体" w:cs="宋体"/>
                <w:b w:val="0"/>
                <w:bCs w:val="0"/>
                <w:color w:val="auto"/>
                <w:kern w:val="0"/>
                <w:sz w:val="24"/>
                <w:szCs w:val="24"/>
                <w:highlight w:val="none"/>
              </w:rPr>
            </w:pPr>
            <w:r>
              <w:rPr>
                <w:rFonts w:hint="eastAsia" w:ascii="宋体" w:hAnsi="宋体" w:cs="宋体"/>
                <w:b w:val="0"/>
                <w:bCs w:val="0"/>
                <w:color w:val="auto"/>
                <w:kern w:val="0"/>
                <w:sz w:val="24"/>
                <w:szCs w:val="24"/>
                <w:highlight w:val="none"/>
                <w:lang w:val="en-US" w:eastAsia="zh-CN"/>
              </w:rPr>
              <w:t>1分</w:t>
            </w:r>
          </w:p>
        </w:tc>
      </w:tr>
      <w:tr w14:paraId="6978B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88" w:type="dxa"/>
            <w:shd w:val="clear" w:color="auto" w:fill="auto"/>
            <w:noWrap w:val="0"/>
            <w:vAlign w:val="center"/>
          </w:tcPr>
          <w:p w14:paraId="4DD33C43">
            <w:pPr>
              <w:keepNext w:val="0"/>
              <w:keepLines w:val="0"/>
              <w:widowControl/>
              <w:suppressLineNumbers w:val="0"/>
              <w:jc w:val="center"/>
              <w:textAlignment w:val="center"/>
              <w:rPr>
                <w:rFonts w:hint="default" w:ascii="仿宋" w:hAnsi="仿宋" w:eastAsia="仿宋" w:cs="宋体"/>
                <w:b w:val="0"/>
                <w:bCs w:val="0"/>
                <w:color w:val="auto"/>
                <w:kern w:val="0"/>
                <w:sz w:val="24"/>
                <w:szCs w:val="24"/>
                <w:highlight w:val="none"/>
                <w:lang w:val="en-US" w:eastAsia="zh-CN" w:bidi="ar-SA"/>
              </w:rPr>
            </w:pPr>
            <w:r>
              <w:rPr>
                <w:rFonts w:hint="eastAsia" w:ascii="仿宋" w:hAnsi="仿宋" w:eastAsia="仿宋" w:cs="宋体"/>
                <w:b w:val="0"/>
                <w:bCs w:val="0"/>
                <w:color w:val="auto"/>
                <w:kern w:val="0"/>
                <w:sz w:val="24"/>
                <w:szCs w:val="24"/>
                <w:highlight w:val="none"/>
                <w:lang w:val="en-US" w:eastAsia="zh-CN" w:bidi="ar-SA"/>
              </w:rPr>
              <w:t>32</w:t>
            </w:r>
          </w:p>
        </w:tc>
        <w:tc>
          <w:tcPr>
            <w:tcW w:w="969" w:type="dxa"/>
            <w:vMerge w:val="continue"/>
            <w:noWrap w:val="0"/>
            <w:vAlign w:val="center"/>
          </w:tcPr>
          <w:p w14:paraId="7710A3C5">
            <w:pPr>
              <w:widowControl/>
              <w:jc w:val="center"/>
              <w:rPr>
                <w:rFonts w:hint="eastAsia" w:ascii="宋体" w:hAnsi="宋体" w:cs="宋体"/>
                <w:b w:val="0"/>
                <w:bCs w:val="0"/>
                <w:color w:val="auto"/>
                <w:kern w:val="0"/>
                <w:sz w:val="24"/>
                <w:szCs w:val="24"/>
                <w:highlight w:val="none"/>
                <w:lang w:val="en-US" w:eastAsia="zh-CN"/>
              </w:rPr>
            </w:pPr>
          </w:p>
        </w:tc>
        <w:tc>
          <w:tcPr>
            <w:tcW w:w="6301" w:type="dxa"/>
            <w:noWrap w:val="0"/>
            <w:vAlign w:val="center"/>
          </w:tcPr>
          <w:p w14:paraId="2B4F5EFE">
            <w:pPr>
              <w:widowControl/>
              <w:jc w:val="left"/>
              <w:rPr>
                <w:rFonts w:hint="default" w:ascii="宋体" w:hAnsi="宋体" w:eastAsia="宋体" w:cs="宋体"/>
                <w:b w:val="0"/>
                <w:bCs w:val="0"/>
                <w:color w:val="auto"/>
                <w:kern w:val="0"/>
                <w:sz w:val="24"/>
                <w:szCs w:val="24"/>
                <w:highlight w:val="none"/>
                <w:lang w:val="en-US" w:eastAsia="zh-CN"/>
              </w:rPr>
            </w:pPr>
            <w:bookmarkStart w:id="39" w:name="OLE_LINK37"/>
            <w:r>
              <w:rPr>
                <w:rFonts w:hint="eastAsia" w:ascii="宋体" w:hAnsi="宋体" w:cs="宋体"/>
                <w:b w:val="0"/>
                <w:bCs w:val="0"/>
                <w:color w:val="auto"/>
                <w:kern w:val="0"/>
                <w:sz w:val="24"/>
                <w:szCs w:val="24"/>
                <w:highlight w:val="none"/>
                <w:lang w:val="en-US" w:eastAsia="zh-CN"/>
              </w:rPr>
              <w:t>未按照《江苏省招标投标条例》、《江苏省政府采购档案管理办法》等有关</w:t>
            </w:r>
            <w:r>
              <w:rPr>
                <w:rFonts w:hint="eastAsia" w:ascii="宋体" w:hAnsi="宋体" w:cs="宋体"/>
                <w:b w:val="0"/>
                <w:bCs w:val="0"/>
                <w:color w:val="auto"/>
                <w:kern w:val="0"/>
                <w:sz w:val="24"/>
                <w:szCs w:val="24"/>
                <w:highlight w:val="none"/>
                <w:lang w:val="en-US" w:eastAsia="zh-CN"/>
              </w:rPr>
              <w:t>规定</w:t>
            </w:r>
            <w:bookmarkStart w:id="40" w:name="OLE_LINK3"/>
            <w:r>
              <w:rPr>
                <w:rFonts w:hint="eastAsia" w:ascii="宋体" w:hAnsi="宋体" w:cs="宋体"/>
                <w:b w:val="0"/>
                <w:bCs w:val="0"/>
                <w:color w:val="auto"/>
                <w:kern w:val="0"/>
                <w:sz w:val="24"/>
                <w:szCs w:val="24"/>
                <w:highlight w:val="none"/>
                <w:lang w:val="en-US" w:eastAsia="zh-CN"/>
              </w:rPr>
              <w:t>对文件资料进行归档、管理，私自将文件资料外传的</w:t>
            </w:r>
            <w:bookmarkEnd w:id="40"/>
            <w:r>
              <w:rPr>
                <w:rFonts w:hint="eastAsia" w:ascii="宋体" w:hAnsi="宋体" w:cs="宋体"/>
                <w:b w:val="0"/>
                <w:bCs w:val="0"/>
                <w:color w:val="auto"/>
                <w:kern w:val="0"/>
                <w:sz w:val="24"/>
                <w:szCs w:val="24"/>
                <w:highlight w:val="none"/>
                <w:lang w:val="en-US" w:eastAsia="zh-CN"/>
              </w:rPr>
              <w:t>。</w:t>
            </w:r>
            <w:bookmarkEnd w:id="39"/>
          </w:p>
        </w:tc>
        <w:tc>
          <w:tcPr>
            <w:tcW w:w="998" w:type="dxa"/>
            <w:noWrap w:val="0"/>
            <w:vAlign w:val="center"/>
          </w:tcPr>
          <w:p w14:paraId="02613C29">
            <w:pPr>
              <w:widowControl/>
              <w:jc w:val="center"/>
              <w:rPr>
                <w:rFonts w:hint="eastAsia" w:ascii="宋体" w:hAnsi="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2分</w:t>
            </w:r>
          </w:p>
        </w:tc>
      </w:tr>
      <w:tr w14:paraId="1C873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88" w:type="dxa"/>
            <w:shd w:val="clear" w:color="auto" w:fill="auto"/>
            <w:noWrap w:val="0"/>
            <w:vAlign w:val="center"/>
          </w:tcPr>
          <w:p w14:paraId="0DE0665A">
            <w:pPr>
              <w:keepNext w:val="0"/>
              <w:keepLines w:val="0"/>
              <w:widowControl/>
              <w:suppressLineNumbers w:val="0"/>
              <w:jc w:val="center"/>
              <w:textAlignment w:val="center"/>
              <w:rPr>
                <w:rFonts w:hint="default" w:ascii="仿宋" w:hAnsi="仿宋" w:eastAsia="仿宋" w:cs="宋体"/>
                <w:b w:val="0"/>
                <w:bCs w:val="0"/>
                <w:color w:val="auto"/>
                <w:kern w:val="0"/>
                <w:sz w:val="24"/>
                <w:szCs w:val="24"/>
                <w:highlight w:val="none"/>
                <w:lang w:val="en-US" w:eastAsia="zh-CN" w:bidi="ar-SA"/>
              </w:rPr>
            </w:pPr>
            <w:r>
              <w:rPr>
                <w:rFonts w:hint="eastAsia" w:ascii="仿宋" w:hAnsi="仿宋" w:eastAsia="仿宋" w:cs="宋体"/>
                <w:b w:val="0"/>
                <w:bCs w:val="0"/>
                <w:color w:val="auto"/>
                <w:kern w:val="0"/>
                <w:sz w:val="24"/>
                <w:szCs w:val="24"/>
                <w:highlight w:val="none"/>
                <w:lang w:val="en-US" w:eastAsia="zh-CN" w:bidi="ar-SA"/>
              </w:rPr>
              <w:t>33</w:t>
            </w:r>
          </w:p>
        </w:tc>
        <w:tc>
          <w:tcPr>
            <w:tcW w:w="969" w:type="dxa"/>
            <w:vMerge w:val="restart"/>
            <w:noWrap w:val="0"/>
            <w:vAlign w:val="center"/>
          </w:tcPr>
          <w:p w14:paraId="5741AE29">
            <w:pPr>
              <w:widowControl/>
              <w:jc w:val="center"/>
              <w:rPr>
                <w:rFonts w:hint="default" w:ascii="宋体" w:hAnsi="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其他情况</w:t>
            </w:r>
          </w:p>
        </w:tc>
        <w:tc>
          <w:tcPr>
            <w:tcW w:w="6301" w:type="dxa"/>
            <w:noWrap w:val="0"/>
            <w:vAlign w:val="center"/>
          </w:tcPr>
          <w:p w14:paraId="1DD699C0">
            <w:pPr>
              <w:widowControl/>
              <w:jc w:val="left"/>
              <w:rPr>
                <w:rFonts w:hint="default" w:ascii="宋体" w:hAnsi="宋体" w:cs="宋体"/>
                <w:b w:val="0"/>
                <w:bCs w:val="0"/>
                <w:color w:val="auto"/>
                <w:kern w:val="0"/>
                <w:sz w:val="24"/>
                <w:szCs w:val="24"/>
                <w:highlight w:val="none"/>
                <w:lang w:val="en-US" w:eastAsia="zh-CN"/>
              </w:rPr>
            </w:pPr>
            <w:bookmarkStart w:id="41" w:name="OLE_LINK36"/>
            <w:r>
              <w:rPr>
                <w:rFonts w:hint="eastAsia" w:ascii="宋体" w:hAnsi="宋体" w:cs="宋体"/>
                <w:b w:val="0"/>
                <w:bCs w:val="0"/>
                <w:color w:val="auto"/>
                <w:kern w:val="0"/>
                <w:sz w:val="24"/>
                <w:szCs w:val="24"/>
                <w:highlight w:val="none"/>
                <w:lang w:val="en-US" w:eastAsia="zh-CN"/>
              </w:rPr>
              <w:t>不配合公共资源交易中心或相关监管部门开展各项工作的。</w:t>
            </w:r>
            <w:bookmarkEnd w:id="41"/>
          </w:p>
        </w:tc>
        <w:tc>
          <w:tcPr>
            <w:tcW w:w="998" w:type="dxa"/>
            <w:noWrap w:val="0"/>
            <w:vAlign w:val="center"/>
          </w:tcPr>
          <w:p w14:paraId="45761244">
            <w:pPr>
              <w:widowControl/>
              <w:jc w:val="center"/>
              <w:rPr>
                <w:rFonts w:hint="default" w:ascii="宋体" w:hAnsi="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2分</w:t>
            </w:r>
          </w:p>
        </w:tc>
      </w:tr>
      <w:tr w14:paraId="0C860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88" w:type="dxa"/>
            <w:shd w:val="clear" w:color="auto" w:fill="auto"/>
            <w:noWrap w:val="0"/>
            <w:vAlign w:val="center"/>
          </w:tcPr>
          <w:p w14:paraId="5E546E66">
            <w:pPr>
              <w:keepNext w:val="0"/>
              <w:keepLines w:val="0"/>
              <w:widowControl/>
              <w:suppressLineNumbers w:val="0"/>
              <w:jc w:val="center"/>
              <w:textAlignment w:val="center"/>
              <w:rPr>
                <w:rFonts w:hint="default" w:ascii="仿宋" w:hAnsi="仿宋" w:eastAsia="仿宋" w:cs="宋体"/>
                <w:b w:val="0"/>
                <w:bCs w:val="0"/>
                <w:color w:val="auto"/>
                <w:kern w:val="0"/>
                <w:sz w:val="24"/>
                <w:szCs w:val="24"/>
                <w:highlight w:val="none"/>
                <w:lang w:val="en-US" w:eastAsia="zh-CN" w:bidi="ar-SA"/>
              </w:rPr>
            </w:pPr>
            <w:r>
              <w:rPr>
                <w:rFonts w:hint="eastAsia" w:ascii="仿宋" w:hAnsi="仿宋" w:eastAsia="仿宋" w:cs="宋体"/>
                <w:b w:val="0"/>
                <w:bCs w:val="0"/>
                <w:color w:val="auto"/>
                <w:kern w:val="0"/>
                <w:sz w:val="24"/>
                <w:szCs w:val="24"/>
                <w:highlight w:val="none"/>
                <w:lang w:val="en-US" w:eastAsia="zh-CN" w:bidi="ar-SA"/>
              </w:rPr>
              <w:t>34</w:t>
            </w:r>
          </w:p>
        </w:tc>
        <w:tc>
          <w:tcPr>
            <w:tcW w:w="969" w:type="dxa"/>
            <w:vMerge w:val="continue"/>
            <w:noWrap w:val="0"/>
            <w:vAlign w:val="center"/>
          </w:tcPr>
          <w:p w14:paraId="2A6D60B7">
            <w:pPr>
              <w:widowControl/>
              <w:jc w:val="center"/>
              <w:rPr>
                <w:rFonts w:hint="eastAsia" w:ascii="宋体" w:hAnsi="宋体" w:cs="宋体"/>
                <w:b w:val="0"/>
                <w:bCs w:val="0"/>
                <w:color w:val="auto"/>
                <w:kern w:val="0"/>
                <w:sz w:val="24"/>
                <w:szCs w:val="24"/>
                <w:highlight w:val="none"/>
                <w:lang w:val="en-US" w:eastAsia="zh-CN"/>
              </w:rPr>
            </w:pPr>
          </w:p>
        </w:tc>
        <w:tc>
          <w:tcPr>
            <w:tcW w:w="6301" w:type="dxa"/>
            <w:noWrap w:val="0"/>
            <w:vAlign w:val="center"/>
          </w:tcPr>
          <w:p w14:paraId="5B95EF5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val="0"/>
                <w:bCs w:val="0"/>
                <w:color w:val="auto"/>
                <w:spacing w:val="8"/>
                <w:kern w:val="2"/>
                <w:sz w:val="24"/>
                <w:szCs w:val="24"/>
                <w:highlight w:val="none"/>
                <w:lang w:val="en-US" w:eastAsia="zh-CN" w:bidi="ar-SA"/>
              </w:rPr>
            </w:pPr>
            <w:r>
              <w:rPr>
                <w:rFonts w:hint="eastAsia" w:ascii="宋体" w:hAnsi="宋体" w:eastAsia="宋体" w:cs="宋体"/>
                <w:b w:val="0"/>
                <w:bCs w:val="0"/>
                <w:color w:val="auto"/>
                <w:spacing w:val="-3"/>
                <w:sz w:val="24"/>
                <w:szCs w:val="24"/>
                <w:highlight w:val="none"/>
              </w:rPr>
              <w:t>其他违反</w:t>
            </w:r>
            <w:r>
              <w:rPr>
                <w:rFonts w:hint="eastAsia" w:ascii="宋体" w:hAnsi="宋体" w:eastAsia="宋体" w:cs="宋体"/>
                <w:b w:val="0"/>
                <w:bCs w:val="0"/>
                <w:color w:val="auto"/>
                <w:spacing w:val="-3"/>
                <w:sz w:val="24"/>
                <w:szCs w:val="24"/>
                <w:highlight w:val="none"/>
                <w:lang w:val="en-US" w:eastAsia="zh-CN"/>
              </w:rPr>
              <w:t>公共资源交易现场</w:t>
            </w:r>
            <w:r>
              <w:rPr>
                <w:rFonts w:hint="eastAsia" w:ascii="宋体" w:hAnsi="宋体" w:eastAsia="宋体" w:cs="宋体"/>
                <w:b w:val="0"/>
                <w:bCs w:val="0"/>
                <w:color w:val="auto"/>
                <w:spacing w:val="-3"/>
                <w:sz w:val="24"/>
                <w:szCs w:val="24"/>
                <w:highlight w:val="none"/>
              </w:rPr>
              <w:t>管理制度的行为。</w:t>
            </w:r>
          </w:p>
        </w:tc>
        <w:tc>
          <w:tcPr>
            <w:tcW w:w="998" w:type="dxa"/>
            <w:noWrap w:val="0"/>
            <w:vAlign w:val="center"/>
          </w:tcPr>
          <w:p w14:paraId="28212091">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b w:val="0"/>
                <w:bCs w:val="0"/>
                <w:color w:val="auto"/>
                <w:spacing w:val="-6"/>
                <w:kern w:val="2"/>
                <w:sz w:val="24"/>
                <w:szCs w:val="24"/>
                <w:highlight w:val="none"/>
                <w:lang w:val="en-US" w:eastAsia="zh-CN" w:bidi="ar-SA"/>
              </w:rPr>
            </w:pPr>
            <w:r>
              <w:rPr>
                <w:rFonts w:hint="eastAsia" w:ascii="宋体" w:hAnsi="宋体" w:eastAsia="宋体" w:cs="宋体"/>
                <w:b w:val="0"/>
                <w:bCs w:val="0"/>
                <w:color w:val="auto"/>
                <w:spacing w:val="-6"/>
                <w:sz w:val="24"/>
                <w:szCs w:val="24"/>
                <w:highlight w:val="none"/>
              </w:rPr>
              <w:t>1-</w:t>
            </w:r>
            <w:r>
              <w:rPr>
                <w:rFonts w:hint="eastAsia" w:ascii="宋体" w:hAnsi="宋体" w:eastAsia="宋体" w:cs="宋体"/>
                <w:b w:val="0"/>
                <w:bCs w:val="0"/>
                <w:color w:val="auto"/>
                <w:spacing w:val="-6"/>
                <w:sz w:val="24"/>
                <w:szCs w:val="24"/>
                <w:highlight w:val="none"/>
                <w:lang w:val="en-US" w:eastAsia="zh-CN"/>
              </w:rPr>
              <w:t>20</w:t>
            </w:r>
            <w:r>
              <w:rPr>
                <w:rFonts w:hint="eastAsia" w:ascii="宋体" w:hAnsi="宋体" w:eastAsia="宋体" w:cs="宋体"/>
                <w:b w:val="0"/>
                <w:bCs w:val="0"/>
                <w:color w:val="auto"/>
                <w:spacing w:val="-6"/>
                <w:sz w:val="24"/>
                <w:szCs w:val="24"/>
                <w:highlight w:val="none"/>
              </w:rPr>
              <w:t>分</w:t>
            </w:r>
          </w:p>
        </w:tc>
      </w:tr>
      <w:bookmarkEnd w:id="24"/>
      <w:bookmarkEnd w:id="25"/>
    </w:tbl>
    <w:p w14:paraId="441173D3">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6" w:beforeAutospacing="0" w:after="0" w:afterAutospacing="0" w:line="520" w:lineRule="exact"/>
        <w:ind w:right="0" w:rightChars="0"/>
        <w:jc w:val="both"/>
        <w:textAlignment w:val="auto"/>
        <w:rPr>
          <w:rFonts w:hint="eastAsia" w:ascii="仿宋_GB2312" w:hAnsi="仿宋_GB2312" w:eastAsia="仿宋_GB2312" w:cs="仿宋_GB2312"/>
          <w:color w:val="auto"/>
          <w:sz w:val="32"/>
          <w:szCs w:val="32"/>
          <w:highlight w:val="none"/>
          <w:lang w:val="en-US" w:eastAsia="zh-CN"/>
        </w:rPr>
        <w:sectPr>
          <w:pgSz w:w="11906" w:h="16838"/>
          <w:pgMar w:top="2098" w:right="1474" w:bottom="1984" w:left="1587" w:header="851" w:footer="992" w:gutter="0"/>
          <w:pgNumType w:fmt="decimal"/>
          <w:cols w:space="425" w:num="1"/>
          <w:docGrid w:type="lines" w:linePitch="312" w:charSpace="0"/>
        </w:sectPr>
      </w:pPr>
    </w:p>
    <w:p w14:paraId="25FBB6FD">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jc w:val="both"/>
        <w:textAlignment w:val="auto"/>
        <w:rPr>
          <w:rFonts w:hint="default"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附件4</w:t>
      </w:r>
    </w:p>
    <w:p w14:paraId="397F781D">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jc w:val="both"/>
        <w:textAlignment w:val="auto"/>
        <w:rPr>
          <w:rFonts w:hint="default" w:ascii="黑体" w:hAnsi="黑体" w:eastAsia="黑体" w:cs="黑体"/>
          <w:color w:val="auto"/>
          <w:kern w:val="0"/>
          <w:sz w:val="32"/>
          <w:szCs w:val="32"/>
          <w:highlight w:val="none"/>
          <w:lang w:val="en-US" w:eastAsia="zh-CN"/>
        </w:rPr>
      </w:pPr>
    </w:p>
    <w:p w14:paraId="7C555763">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方正小标宋_GBK" w:hAnsi="宋体" w:eastAsia="方正小标宋_GBK" w:cs="仿宋_GB2312"/>
          <w:color w:val="auto"/>
          <w:kern w:val="0"/>
          <w:sz w:val="44"/>
          <w:szCs w:val="44"/>
          <w:highlight w:val="none"/>
          <w:lang w:val="en-US" w:eastAsia="zh-CN"/>
        </w:rPr>
      </w:pPr>
      <w:bookmarkStart w:id="42" w:name="OLE_LINK14"/>
      <w:r>
        <w:rPr>
          <w:rFonts w:hint="eastAsia" w:ascii="方正小标宋_GBK" w:hAnsi="宋体" w:eastAsia="方正小标宋_GBK" w:cs="仿宋_GB2312"/>
          <w:color w:val="auto"/>
          <w:kern w:val="0"/>
          <w:sz w:val="44"/>
          <w:szCs w:val="44"/>
          <w:highlight w:val="none"/>
          <w:lang w:val="en-US" w:eastAsia="zh-CN"/>
        </w:rPr>
        <w:t>代理机构进场交易行为评价记分表</w:t>
      </w:r>
    </w:p>
    <w:p w14:paraId="679B0C92">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方正小标宋_GBK" w:hAnsi="宋体" w:eastAsia="方正小标宋_GBK" w:cs="仿宋_GB2312"/>
          <w:color w:val="auto"/>
          <w:kern w:val="0"/>
          <w:sz w:val="44"/>
          <w:szCs w:val="44"/>
          <w:highlight w:val="none"/>
          <w:lang w:val="en-US" w:eastAsia="zh-CN"/>
        </w:rPr>
      </w:pPr>
    </w:p>
    <w:bookmarkEnd w:id="42"/>
    <w:p w14:paraId="4FED98CB">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right="0" w:rightChars="0"/>
        <w:jc w:val="right"/>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日期：    年   月  日  </w:t>
      </w:r>
    </w:p>
    <w:tbl>
      <w:tblPr>
        <w:tblStyle w:val="7"/>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946"/>
        <w:gridCol w:w="1702"/>
        <w:gridCol w:w="950"/>
        <w:gridCol w:w="3487"/>
        <w:gridCol w:w="1258"/>
      </w:tblGrid>
      <w:tr w14:paraId="2BE77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4" w:type="dxa"/>
            <w:gridSpan w:val="2"/>
            <w:vAlign w:val="center"/>
          </w:tcPr>
          <w:p w14:paraId="60B7A818">
            <w:pPr>
              <w:pStyle w:val="5"/>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宋体" w:hAnsi="宋体" w:eastAsia="宋体" w:cs="宋体"/>
                <w:color w:val="auto"/>
                <w:kern w:val="0"/>
                <w:sz w:val="24"/>
                <w:szCs w:val="24"/>
                <w:highlight w:val="none"/>
                <w:vertAlign w:val="baseline"/>
                <w:lang w:val="en-US" w:eastAsia="zh-CN"/>
              </w:rPr>
            </w:pPr>
            <w:r>
              <w:rPr>
                <w:rFonts w:hint="eastAsia" w:ascii="宋体" w:hAnsi="宋体" w:eastAsia="宋体" w:cs="宋体"/>
                <w:b/>
                <w:bCs/>
                <w:color w:val="auto"/>
                <w:kern w:val="0"/>
                <w:sz w:val="24"/>
                <w:szCs w:val="24"/>
                <w:highlight w:val="none"/>
                <w:vertAlign w:val="baseline"/>
                <w:lang w:val="en-US" w:eastAsia="zh-CN"/>
              </w:rPr>
              <w:t>代理机构</w:t>
            </w:r>
          </w:p>
        </w:tc>
        <w:tc>
          <w:tcPr>
            <w:tcW w:w="7397" w:type="dxa"/>
            <w:gridSpan w:val="4"/>
            <w:vAlign w:val="center"/>
          </w:tcPr>
          <w:p w14:paraId="3B6B18E7">
            <w:pPr>
              <w:pStyle w:val="5"/>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宋体" w:hAnsi="宋体" w:eastAsia="宋体" w:cs="宋体"/>
                <w:color w:val="auto"/>
                <w:kern w:val="0"/>
                <w:sz w:val="24"/>
                <w:szCs w:val="24"/>
                <w:highlight w:val="none"/>
                <w:vertAlign w:val="baseline"/>
                <w:lang w:val="en-US" w:eastAsia="zh-CN"/>
              </w:rPr>
            </w:pPr>
          </w:p>
        </w:tc>
      </w:tr>
      <w:tr w14:paraId="5BB86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8" w:type="dxa"/>
            <w:vAlign w:val="center"/>
          </w:tcPr>
          <w:p w14:paraId="7B47891A">
            <w:pPr>
              <w:pStyle w:val="5"/>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宋体" w:hAnsi="宋体" w:eastAsia="宋体" w:cs="宋体"/>
                <w:b/>
                <w:bCs/>
                <w:color w:val="auto"/>
                <w:kern w:val="0"/>
                <w:sz w:val="24"/>
                <w:szCs w:val="24"/>
                <w:highlight w:val="none"/>
                <w:vertAlign w:val="baseline"/>
                <w:lang w:val="en-US" w:eastAsia="zh-CN"/>
              </w:rPr>
            </w:pPr>
            <w:r>
              <w:rPr>
                <w:rFonts w:hint="eastAsia" w:ascii="宋体" w:hAnsi="宋体" w:eastAsia="宋体" w:cs="宋体"/>
                <w:b/>
                <w:bCs/>
                <w:color w:val="auto"/>
                <w:kern w:val="0"/>
                <w:sz w:val="24"/>
                <w:szCs w:val="24"/>
                <w:highlight w:val="none"/>
                <w:vertAlign w:val="baseline"/>
                <w:lang w:val="en-US" w:eastAsia="zh-CN"/>
              </w:rPr>
              <w:t>序号</w:t>
            </w:r>
          </w:p>
        </w:tc>
        <w:tc>
          <w:tcPr>
            <w:tcW w:w="2648" w:type="dxa"/>
            <w:gridSpan w:val="2"/>
            <w:vAlign w:val="center"/>
          </w:tcPr>
          <w:p w14:paraId="4069D96E">
            <w:pPr>
              <w:pStyle w:val="5"/>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宋体" w:hAnsi="宋体" w:eastAsia="宋体" w:cs="宋体"/>
                <w:b/>
                <w:bCs/>
                <w:color w:val="auto"/>
                <w:kern w:val="0"/>
                <w:sz w:val="24"/>
                <w:szCs w:val="24"/>
                <w:highlight w:val="none"/>
                <w:vertAlign w:val="baseline"/>
                <w:lang w:val="en-US" w:eastAsia="zh-CN"/>
              </w:rPr>
            </w:pPr>
            <w:r>
              <w:rPr>
                <w:rFonts w:hint="eastAsia" w:ascii="宋体" w:hAnsi="宋体" w:eastAsia="宋体" w:cs="宋体"/>
                <w:b/>
                <w:bCs/>
                <w:color w:val="auto"/>
                <w:kern w:val="0"/>
                <w:sz w:val="24"/>
                <w:szCs w:val="24"/>
                <w:highlight w:val="none"/>
                <w:vertAlign w:val="baseline"/>
                <w:lang w:val="en-US" w:eastAsia="zh-CN"/>
              </w:rPr>
              <w:t>评价标准</w:t>
            </w:r>
          </w:p>
        </w:tc>
        <w:tc>
          <w:tcPr>
            <w:tcW w:w="950" w:type="dxa"/>
            <w:vAlign w:val="center"/>
          </w:tcPr>
          <w:p w14:paraId="4DF7E3F6">
            <w:pPr>
              <w:pStyle w:val="5"/>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宋体" w:hAnsi="宋体" w:eastAsia="宋体" w:cs="宋体"/>
                <w:b/>
                <w:bCs/>
                <w:color w:val="auto"/>
                <w:kern w:val="0"/>
                <w:sz w:val="24"/>
                <w:szCs w:val="24"/>
                <w:highlight w:val="none"/>
                <w:vertAlign w:val="baseline"/>
                <w:lang w:val="en-US" w:eastAsia="zh-CN"/>
              </w:rPr>
            </w:pPr>
            <w:r>
              <w:rPr>
                <w:rFonts w:hint="eastAsia" w:ascii="宋体" w:hAnsi="宋体" w:eastAsia="宋体" w:cs="宋体"/>
                <w:b/>
                <w:bCs/>
                <w:color w:val="auto"/>
                <w:kern w:val="0"/>
                <w:sz w:val="24"/>
                <w:szCs w:val="24"/>
                <w:highlight w:val="none"/>
                <w:vertAlign w:val="baseline"/>
                <w:lang w:val="en-US" w:eastAsia="zh-CN"/>
              </w:rPr>
              <w:t>扣（加）分值</w:t>
            </w:r>
          </w:p>
        </w:tc>
        <w:tc>
          <w:tcPr>
            <w:tcW w:w="3487" w:type="dxa"/>
            <w:vAlign w:val="center"/>
          </w:tcPr>
          <w:p w14:paraId="53A31207">
            <w:pPr>
              <w:pStyle w:val="5"/>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宋体" w:hAnsi="宋体" w:eastAsia="宋体" w:cs="宋体"/>
                <w:b/>
                <w:bCs/>
                <w:color w:val="auto"/>
                <w:kern w:val="0"/>
                <w:sz w:val="24"/>
                <w:szCs w:val="24"/>
                <w:highlight w:val="none"/>
                <w:vertAlign w:val="baseline"/>
                <w:lang w:val="en-US" w:eastAsia="zh-CN"/>
              </w:rPr>
            </w:pPr>
            <w:r>
              <w:rPr>
                <w:rFonts w:hint="eastAsia" w:ascii="宋体" w:hAnsi="宋体" w:eastAsia="宋体" w:cs="宋体"/>
                <w:b/>
                <w:bCs/>
                <w:color w:val="auto"/>
                <w:kern w:val="0"/>
                <w:sz w:val="24"/>
                <w:szCs w:val="24"/>
                <w:highlight w:val="none"/>
                <w:vertAlign w:val="baseline"/>
                <w:lang w:val="en-US" w:eastAsia="zh-CN"/>
              </w:rPr>
              <w:t>扣（加）分原因</w:t>
            </w:r>
          </w:p>
        </w:tc>
        <w:tc>
          <w:tcPr>
            <w:tcW w:w="1258" w:type="dxa"/>
            <w:vAlign w:val="center"/>
          </w:tcPr>
          <w:p w14:paraId="12FFA561">
            <w:pPr>
              <w:pStyle w:val="5"/>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宋体" w:hAnsi="宋体" w:eastAsia="宋体" w:cs="宋体"/>
                <w:b/>
                <w:bCs/>
                <w:color w:val="auto"/>
                <w:kern w:val="0"/>
                <w:sz w:val="24"/>
                <w:szCs w:val="24"/>
                <w:highlight w:val="none"/>
                <w:vertAlign w:val="baseline"/>
                <w:lang w:val="en-US" w:eastAsia="zh-CN"/>
              </w:rPr>
            </w:pPr>
            <w:r>
              <w:rPr>
                <w:rFonts w:hint="eastAsia" w:ascii="宋体" w:hAnsi="宋体" w:eastAsia="宋体" w:cs="宋体"/>
                <w:b/>
                <w:bCs/>
                <w:color w:val="auto"/>
                <w:kern w:val="0"/>
                <w:sz w:val="24"/>
                <w:szCs w:val="24"/>
                <w:highlight w:val="none"/>
                <w:vertAlign w:val="baseline"/>
                <w:lang w:val="en-US" w:eastAsia="zh-CN"/>
              </w:rPr>
              <w:t>备注</w:t>
            </w:r>
          </w:p>
        </w:tc>
      </w:tr>
      <w:tr w14:paraId="324EA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8" w:type="dxa"/>
            <w:vAlign w:val="center"/>
          </w:tcPr>
          <w:p w14:paraId="1FFC4D32">
            <w:pPr>
              <w:pStyle w:val="5"/>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宋体" w:hAnsi="宋体" w:eastAsia="宋体" w:cs="宋体"/>
                <w:color w:val="auto"/>
                <w:kern w:val="0"/>
                <w:sz w:val="24"/>
                <w:szCs w:val="24"/>
                <w:highlight w:val="none"/>
                <w:vertAlign w:val="baseline"/>
                <w:lang w:val="en-US" w:eastAsia="zh-CN"/>
              </w:rPr>
            </w:pPr>
          </w:p>
        </w:tc>
        <w:tc>
          <w:tcPr>
            <w:tcW w:w="2648" w:type="dxa"/>
            <w:gridSpan w:val="2"/>
            <w:vAlign w:val="center"/>
          </w:tcPr>
          <w:p w14:paraId="34A07C86">
            <w:pPr>
              <w:pStyle w:val="5"/>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宋体" w:hAnsi="宋体" w:eastAsia="宋体" w:cs="宋体"/>
                <w:color w:val="auto"/>
                <w:kern w:val="0"/>
                <w:sz w:val="24"/>
                <w:szCs w:val="24"/>
                <w:highlight w:val="none"/>
                <w:vertAlign w:val="baseline"/>
                <w:lang w:val="en-US" w:eastAsia="zh-CN"/>
              </w:rPr>
            </w:pPr>
          </w:p>
        </w:tc>
        <w:tc>
          <w:tcPr>
            <w:tcW w:w="950" w:type="dxa"/>
            <w:vAlign w:val="center"/>
          </w:tcPr>
          <w:p w14:paraId="7AAFE2F5">
            <w:pPr>
              <w:pStyle w:val="5"/>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宋体" w:hAnsi="宋体" w:eastAsia="宋体" w:cs="宋体"/>
                <w:color w:val="auto"/>
                <w:kern w:val="0"/>
                <w:sz w:val="24"/>
                <w:szCs w:val="24"/>
                <w:highlight w:val="none"/>
                <w:vertAlign w:val="baseline"/>
                <w:lang w:val="en-US" w:eastAsia="zh-CN"/>
              </w:rPr>
            </w:pPr>
          </w:p>
        </w:tc>
        <w:tc>
          <w:tcPr>
            <w:tcW w:w="3487" w:type="dxa"/>
            <w:vAlign w:val="center"/>
          </w:tcPr>
          <w:p w14:paraId="63B7C1BD">
            <w:pPr>
              <w:pStyle w:val="5"/>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宋体" w:hAnsi="宋体" w:eastAsia="宋体" w:cs="宋体"/>
                <w:color w:val="auto"/>
                <w:kern w:val="0"/>
                <w:sz w:val="24"/>
                <w:szCs w:val="24"/>
                <w:highlight w:val="none"/>
                <w:vertAlign w:val="baseline"/>
                <w:lang w:val="en-US" w:eastAsia="zh-CN"/>
              </w:rPr>
            </w:pPr>
          </w:p>
        </w:tc>
        <w:tc>
          <w:tcPr>
            <w:tcW w:w="1258" w:type="dxa"/>
            <w:vAlign w:val="center"/>
          </w:tcPr>
          <w:p w14:paraId="16AEDE01">
            <w:pPr>
              <w:pStyle w:val="5"/>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宋体" w:hAnsi="宋体" w:eastAsia="宋体" w:cs="宋体"/>
                <w:color w:val="auto"/>
                <w:kern w:val="0"/>
                <w:sz w:val="24"/>
                <w:szCs w:val="24"/>
                <w:highlight w:val="none"/>
                <w:vertAlign w:val="baseline"/>
                <w:lang w:val="en-US" w:eastAsia="zh-CN"/>
              </w:rPr>
            </w:pPr>
          </w:p>
        </w:tc>
      </w:tr>
      <w:tr w14:paraId="00CBE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8" w:type="dxa"/>
            <w:vAlign w:val="center"/>
          </w:tcPr>
          <w:p w14:paraId="6121BF9C">
            <w:pPr>
              <w:pStyle w:val="5"/>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宋体" w:hAnsi="宋体" w:eastAsia="宋体" w:cs="宋体"/>
                <w:color w:val="auto"/>
                <w:kern w:val="0"/>
                <w:sz w:val="24"/>
                <w:szCs w:val="24"/>
                <w:highlight w:val="none"/>
                <w:vertAlign w:val="baseline"/>
                <w:lang w:val="en-US" w:eastAsia="zh-CN"/>
              </w:rPr>
            </w:pPr>
          </w:p>
        </w:tc>
        <w:tc>
          <w:tcPr>
            <w:tcW w:w="2648" w:type="dxa"/>
            <w:gridSpan w:val="2"/>
            <w:vAlign w:val="center"/>
          </w:tcPr>
          <w:p w14:paraId="5491527C">
            <w:pPr>
              <w:pStyle w:val="5"/>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宋体" w:hAnsi="宋体" w:eastAsia="宋体" w:cs="宋体"/>
                <w:color w:val="auto"/>
                <w:kern w:val="0"/>
                <w:sz w:val="24"/>
                <w:szCs w:val="24"/>
                <w:highlight w:val="none"/>
                <w:vertAlign w:val="baseline"/>
                <w:lang w:val="en-US" w:eastAsia="zh-CN"/>
              </w:rPr>
            </w:pPr>
          </w:p>
        </w:tc>
        <w:tc>
          <w:tcPr>
            <w:tcW w:w="950" w:type="dxa"/>
            <w:vAlign w:val="center"/>
          </w:tcPr>
          <w:p w14:paraId="6DC4CFF2">
            <w:pPr>
              <w:pStyle w:val="5"/>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宋体" w:hAnsi="宋体" w:eastAsia="宋体" w:cs="宋体"/>
                <w:color w:val="auto"/>
                <w:kern w:val="0"/>
                <w:sz w:val="24"/>
                <w:szCs w:val="24"/>
                <w:highlight w:val="none"/>
                <w:vertAlign w:val="baseline"/>
                <w:lang w:val="en-US" w:eastAsia="zh-CN"/>
              </w:rPr>
            </w:pPr>
          </w:p>
        </w:tc>
        <w:tc>
          <w:tcPr>
            <w:tcW w:w="3487" w:type="dxa"/>
            <w:vAlign w:val="center"/>
          </w:tcPr>
          <w:p w14:paraId="6CAB38A7">
            <w:pPr>
              <w:pStyle w:val="5"/>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宋体" w:hAnsi="宋体" w:eastAsia="宋体" w:cs="宋体"/>
                <w:color w:val="auto"/>
                <w:kern w:val="0"/>
                <w:sz w:val="24"/>
                <w:szCs w:val="24"/>
                <w:highlight w:val="none"/>
                <w:vertAlign w:val="baseline"/>
                <w:lang w:val="en-US" w:eastAsia="zh-CN"/>
              </w:rPr>
            </w:pPr>
          </w:p>
        </w:tc>
        <w:tc>
          <w:tcPr>
            <w:tcW w:w="1258" w:type="dxa"/>
            <w:vAlign w:val="center"/>
          </w:tcPr>
          <w:p w14:paraId="173B463F">
            <w:pPr>
              <w:pStyle w:val="5"/>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宋体" w:hAnsi="宋体" w:eastAsia="宋体" w:cs="宋体"/>
                <w:color w:val="auto"/>
                <w:kern w:val="0"/>
                <w:sz w:val="24"/>
                <w:szCs w:val="24"/>
                <w:highlight w:val="none"/>
                <w:vertAlign w:val="baseline"/>
                <w:lang w:val="en-US" w:eastAsia="zh-CN"/>
              </w:rPr>
            </w:pPr>
          </w:p>
        </w:tc>
      </w:tr>
      <w:tr w14:paraId="37322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8" w:type="dxa"/>
            <w:vAlign w:val="center"/>
          </w:tcPr>
          <w:p w14:paraId="7AE155B1">
            <w:pPr>
              <w:pStyle w:val="5"/>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宋体" w:hAnsi="宋体" w:eastAsia="宋体" w:cs="宋体"/>
                <w:color w:val="auto"/>
                <w:kern w:val="0"/>
                <w:sz w:val="24"/>
                <w:szCs w:val="24"/>
                <w:highlight w:val="none"/>
                <w:vertAlign w:val="baseline"/>
                <w:lang w:val="en-US" w:eastAsia="zh-CN"/>
              </w:rPr>
            </w:pPr>
          </w:p>
        </w:tc>
        <w:tc>
          <w:tcPr>
            <w:tcW w:w="2648" w:type="dxa"/>
            <w:gridSpan w:val="2"/>
            <w:vAlign w:val="center"/>
          </w:tcPr>
          <w:p w14:paraId="4DBD0AD5">
            <w:pPr>
              <w:pStyle w:val="5"/>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宋体" w:hAnsi="宋体" w:eastAsia="宋体" w:cs="宋体"/>
                <w:color w:val="auto"/>
                <w:kern w:val="0"/>
                <w:sz w:val="24"/>
                <w:szCs w:val="24"/>
                <w:highlight w:val="none"/>
                <w:vertAlign w:val="baseline"/>
                <w:lang w:val="en-US" w:eastAsia="zh-CN"/>
              </w:rPr>
            </w:pPr>
          </w:p>
        </w:tc>
        <w:tc>
          <w:tcPr>
            <w:tcW w:w="950" w:type="dxa"/>
            <w:vAlign w:val="center"/>
          </w:tcPr>
          <w:p w14:paraId="66B0D39F">
            <w:pPr>
              <w:pStyle w:val="5"/>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宋体" w:hAnsi="宋体" w:eastAsia="宋体" w:cs="宋体"/>
                <w:color w:val="auto"/>
                <w:kern w:val="0"/>
                <w:sz w:val="24"/>
                <w:szCs w:val="24"/>
                <w:highlight w:val="none"/>
                <w:vertAlign w:val="baseline"/>
                <w:lang w:val="en-US" w:eastAsia="zh-CN"/>
              </w:rPr>
            </w:pPr>
          </w:p>
        </w:tc>
        <w:tc>
          <w:tcPr>
            <w:tcW w:w="3487" w:type="dxa"/>
            <w:vAlign w:val="center"/>
          </w:tcPr>
          <w:p w14:paraId="342E7C2B">
            <w:pPr>
              <w:pStyle w:val="5"/>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宋体" w:hAnsi="宋体" w:eastAsia="宋体" w:cs="宋体"/>
                <w:color w:val="auto"/>
                <w:kern w:val="0"/>
                <w:sz w:val="24"/>
                <w:szCs w:val="24"/>
                <w:highlight w:val="none"/>
                <w:vertAlign w:val="baseline"/>
                <w:lang w:val="en-US" w:eastAsia="zh-CN"/>
              </w:rPr>
            </w:pPr>
          </w:p>
        </w:tc>
        <w:tc>
          <w:tcPr>
            <w:tcW w:w="1258" w:type="dxa"/>
            <w:vAlign w:val="center"/>
          </w:tcPr>
          <w:p w14:paraId="1605F873">
            <w:pPr>
              <w:pStyle w:val="5"/>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宋体" w:hAnsi="宋体" w:eastAsia="宋体" w:cs="宋体"/>
                <w:color w:val="auto"/>
                <w:kern w:val="0"/>
                <w:sz w:val="24"/>
                <w:szCs w:val="24"/>
                <w:highlight w:val="none"/>
                <w:vertAlign w:val="baseline"/>
                <w:lang w:val="en-US" w:eastAsia="zh-CN"/>
              </w:rPr>
            </w:pPr>
          </w:p>
        </w:tc>
      </w:tr>
      <w:tr w14:paraId="026BD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8" w:type="dxa"/>
            <w:vAlign w:val="center"/>
          </w:tcPr>
          <w:p w14:paraId="1D06911B">
            <w:pPr>
              <w:pStyle w:val="5"/>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宋体" w:hAnsi="宋体" w:eastAsia="宋体" w:cs="宋体"/>
                <w:color w:val="auto"/>
                <w:kern w:val="0"/>
                <w:sz w:val="24"/>
                <w:szCs w:val="24"/>
                <w:highlight w:val="none"/>
                <w:vertAlign w:val="baseline"/>
                <w:lang w:val="en-US" w:eastAsia="zh-CN"/>
              </w:rPr>
            </w:pPr>
          </w:p>
        </w:tc>
        <w:tc>
          <w:tcPr>
            <w:tcW w:w="2648" w:type="dxa"/>
            <w:gridSpan w:val="2"/>
            <w:vAlign w:val="center"/>
          </w:tcPr>
          <w:p w14:paraId="5200380E">
            <w:pPr>
              <w:pStyle w:val="5"/>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宋体" w:hAnsi="宋体" w:eastAsia="宋体" w:cs="宋体"/>
                <w:color w:val="auto"/>
                <w:kern w:val="0"/>
                <w:sz w:val="24"/>
                <w:szCs w:val="24"/>
                <w:highlight w:val="none"/>
                <w:vertAlign w:val="baseline"/>
                <w:lang w:val="en-US" w:eastAsia="zh-CN"/>
              </w:rPr>
            </w:pPr>
          </w:p>
        </w:tc>
        <w:tc>
          <w:tcPr>
            <w:tcW w:w="950" w:type="dxa"/>
            <w:vAlign w:val="center"/>
          </w:tcPr>
          <w:p w14:paraId="29A48A47">
            <w:pPr>
              <w:pStyle w:val="5"/>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宋体" w:hAnsi="宋体" w:eastAsia="宋体" w:cs="宋体"/>
                <w:color w:val="auto"/>
                <w:kern w:val="0"/>
                <w:sz w:val="24"/>
                <w:szCs w:val="24"/>
                <w:highlight w:val="none"/>
                <w:vertAlign w:val="baseline"/>
                <w:lang w:val="en-US" w:eastAsia="zh-CN"/>
              </w:rPr>
            </w:pPr>
          </w:p>
        </w:tc>
        <w:tc>
          <w:tcPr>
            <w:tcW w:w="3487" w:type="dxa"/>
            <w:vAlign w:val="center"/>
          </w:tcPr>
          <w:p w14:paraId="6F0DDF99">
            <w:pPr>
              <w:pStyle w:val="5"/>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宋体" w:hAnsi="宋体" w:eastAsia="宋体" w:cs="宋体"/>
                <w:color w:val="auto"/>
                <w:kern w:val="0"/>
                <w:sz w:val="24"/>
                <w:szCs w:val="24"/>
                <w:highlight w:val="none"/>
                <w:vertAlign w:val="baseline"/>
                <w:lang w:val="en-US" w:eastAsia="zh-CN"/>
              </w:rPr>
            </w:pPr>
          </w:p>
        </w:tc>
        <w:tc>
          <w:tcPr>
            <w:tcW w:w="1258" w:type="dxa"/>
            <w:vAlign w:val="center"/>
          </w:tcPr>
          <w:p w14:paraId="6CC8E8BF">
            <w:pPr>
              <w:pStyle w:val="5"/>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宋体" w:hAnsi="宋体" w:eastAsia="宋体" w:cs="宋体"/>
                <w:color w:val="auto"/>
                <w:kern w:val="0"/>
                <w:sz w:val="24"/>
                <w:szCs w:val="24"/>
                <w:highlight w:val="none"/>
                <w:vertAlign w:val="baseline"/>
                <w:lang w:val="en-US" w:eastAsia="zh-CN"/>
              </w:rPr>
            </w:pPr>
          </w:p>
        </w:tc>
      </w:tr>
      <w:tr w14:paraId="5B3AB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8" w:type="dxa"/>
            <w:vAlign w:val="center"/>
          </w:tcPr>
          <w:p w14:paraId="6C7EAB26">
            <w:pPr>
              <w:pStyle w:val="5"/>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宋体" w:hAnsi="宋体" w:eastAsia="宋体" w:cs="宋体"/>
                <w:color w:val="auto"/>
                <w:kern w:val="0"/>
                <w:sz w:val="24"/>
                <w:szCs w:val="24"/>
                <w:highlight w:val="none"/>
                <w:vertAlign w:val="baseline"/>
                <w:lang w:val="en-US" w:eastAsia="zh-CN"/>
              </w:rPr>
            </w:pPr>
          </w:p>
        </w:tc>
        <w:tc>
          <w:tcPr>
            <w:tcW w:w="2648" w:type="dxa"/>
            <w:gridSpan w:val="2"/>
            <w:vAlign w:val="center"/>
          </w:tcPr>
          <w:p w14:paraId="002BBE73">
            <w:pPr>
              <w:pStyle w:val="5"/>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宋体" w:hAnsi="宋体" w:eastAsia="宋体" w:cs="宋体"/>
                <w:color w:val="auto"/>
                <w:kern w:val="0"/>
                <w:sz w:val="24"/>
                <w:szCs w:val="24"/>
                <w:highlight w:val="none"/>
                <w:vertAlign w:val="baseline"/>
                <w:lang w:val="en-US" w:eastAsia="zh-CN"/>
              </w:rPr>
            </w:pPr>
          </w:p>
        </w:tc>
        <w:tc>
          <w:tcPr>
            <w:tcW w:w="950" w:type="dxa"/>
            <w:vAlign w:val="center"/>
          </w:tcPr>
          <w:p w14:paraId="27B709DD">
            <w:pPr>
              <w:pStyle w:val="5"/>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宋体" w:hAnsi="宋体" w:eastAsia="宋体" w:cs="宋体"/>
                <w:color w:val="auto"/>
                <w:kern w:val="0"/>
                <w:sz w:val="24"/>
                <w:szCs w:val="24"/>
                <w:highlight w:val="none"/>
                <w:vertAlign w:val="baseline"/>
                <w:lang w:val="en-US" w:eastAsia="zh-CN"/>
              </w:rPr>
            </w:pPr>
          </w:p>
        </w:tc>
        <w:tc>
          <w:tcPr>
            <w:tcW w:w="3487" w:type="dxa"/>
            <w:vAlign w:val="center"/>
          </w:tcPr>
          <w:p w14:paraId="0E1BC57B">
            <w:pPr>
              <w:pStyle w:val="5"/>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宋体" w:hAnsi="宋体" w:eastAsia="宋体" w:cs="宋体"/>
                <w:color w:val="auto"/>
                <w:kern w:val="0"/>
                <w:sz w:val="24"/>
                <w:szCs w:val="24"/>
                <w:highlight w:val="none"/>
                <w:vertAlign w:val="baseline"/>
                <w:lang w:val="en-US" w:eastAsia="zh-CN"/>
              </w:rPr>
            </w:pPr>
          </w:p>
        </w:tc>
        <w:tc>
          <w:tcPr>
            <w:tcW w:w="1258" w:type="dxa"/>
            <w:vAlign w:val="center"/>
          </w:tcPr>
          <w:p w14:paraId="19276BE4">
            <w:pPr>
              <w:pStyle w:val="5"/>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宋体" w:hAnsi="宋体" w:eastAsia="宋体" w:cs="宋体"/>
                <w:color w:val="auto"/>
                <w:kern w:val="0"/>
                <w:sz w:val="24"/>
                <w:szCs w:val="24"/>
                <w:highlight w:val="none"/>
                <w:vertAlign w:val="baseline"/>
                <w:lang w:val="en-US" w:eastAsia="zh-CN"/>
              </w:rPr>
            </w:pPr>
          </w:p>
        </w:tc>
      </w:tr>
      <w:tr w14:paraId="59942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8" w:type="dxa"/>
            <w:vAlign w:val="center"/>
          </w:tcPr>
          <w:p w14:paraId="4041B197">
            <w:pPr>
              <w:pStyle w:val="5"/>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宋体" w:hAnsi="宋体" w:eastAsia="宋体" w:cs="宋体"/>
                <w:color w:val="auto"/>
                <w:kern w:val="0"/>
                <w:sz w:val="24"/>
                <w:szCs w:val="24"/>
                <w:highlight w:val="none"/>
                <w:vertAlign w:val="baseline"/>
                <w:lang w:val="en-US" w:eastAsia="zh-CN"/>
              </w:rPr>
            </w:pPr>
          </w:p>
        </w:tc>
        <w:tc>
          <w:tcPr>
            <w:tcW w:w="2648" w:type="dxa"/>
            <w:gridSpan w:val="2"/>
            <w:vAlign w:val="center"/>
          </w:tcPr>
          <w:p w14:paraId="240594A0">
            <w:pPr>
              <w:pStyle w:val="5"/>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宋体" w:hAnsi="宋体" w:eastAsia="宋体" w:cs="宋体"/>
                <w:color w:val="auto"/>
                <w:kern w:val="0"/>
                <w:sz w:val="24"/>
                <w:szCs w:val="24"/>
                <w:highlight w:val="none"/>
                <w:vertAlign w:val="baseline"/>
                <w:lang w:val="en-US" w:eastAsia="zh-CN"/>
              </w:rPr>
            </w:pPr>
          </w:p>
        </w:tc>
        <w:tc>
          <w:tcPr>
            <w:tcW w:w="950" w:type="dxa"/>
            <w:vAlign w:val="center"/>
          </w:tcPr>
          <w:p w14:paraId="4D45243E">
            <w:pPr>
              <w:pStyle w:val="5"/>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宋体" w:hAnsi="宋体" w:eastAsia="宋体" w:cs="宋体"/>
                <w:color w:val="auto"/>
                <w:kern w:val="0"/>
                <w:sz w:val="24"/>
                <w:szCs w:val="24"/>
                <w:highlight w:val="none"/>
                <w:vertAlign w:val="baseline"/>
                <w:lang w:val="en-US" w:eastAsia="zh-CN"/>
              </w:rPr>
            </w:pPr>
          </w:p>
        </w:tc>
        <w:tc>
          <w:tcPr>
            <w:tcW w:w="3487" w:type="dxa"/>
            <w:vAlign w:val="center"/>
          </w:tcPr>
          <w:p w14:paraId="0ACF3E4A">
            <w:pPr>
              <w:pStyle w:val="5"/>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宋体" w:hAnsi="宋体" w:eastAsia="宋体" w:cs="宋体"/>
                <w:color w:val="auto"/>
                <w:kern w:val="0"/>
                <w:sz w:val="24"/>
                <w:szCs w:val="24"/>
                <w:highlight w:val="none"/>
                <w:vertAlign w:val="baseline"/>
                <w:lang w:val="en-US" w:eastAsia="zh-CN"/>
              </w:rPr>
            </w:pPr>
          </w:p>
        </w:tc>
        <w:tc>
          <w:tcPr>
            <w:tcW w:w="1258" w:type="dxa"/>
            <w:vAlign w:val="center"/>
          </w:tcPr>
          <w:p w14:paraId="403D30E2">
            <w:pPr>
              <w:pStyle w:val="5"/>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宋体" w:hAnsi="宋体" w:eastAsia="宋体" w:cs="宋体"/>
                <w:color w:val="auto"/>
                <w:kern w:val="0"/>
                <w:sz w:val="24"/>
                <w:szCs w:val="24"/>
                <w:highlight w:val="none"/>
                <w:vertAlign w:val="baseline"/>
                <w:lang w:val="en-US" w:eastAsia="zh-CN"/>
              </w:rPr>
            </w:pPr>
          </w:p>
        </w:tc>
      </w:tr>
      <w:tr w14:paraId="5E859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8" w:type="dxa"/>
            <w:vAlign w:val="center"/>
          </w:tcPr>
          <w:p w14:paraId="25AFD270">
            <w:pPr>
              <w:pStyle w:val="5"/>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宋体" w:hAnsi="宋体" w:eastAsia="宋体" w:cs="宋体"/>
                <w:color w:val="auto"/>
                <w:kern w:val="0"/>
                <w:sz w:val="24"/>
                <w:szCs w:val="24"/>
                <w:highlight w:val="none"/>
                <w:vertAlign w:val="baseline"/>
                <w:lang w:val="en-US" w:eastAsia="zh-CN"/>
              </w:rPr>
            </w:pPr>
          </w:p>
        </w:tc>
        <w:tc>
          <w:tcPr>
            <w:tcW w:w="2648" w:type="dxa"/>
            <w:gridSpan w:val="2"/>
            <w:vAlign w:val="center"/>
          </w:tcPr>
          <w:p w14:paraId="409E8C07">
            <w:pPr>
              <w:pStyle w:val="5"/>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宋体" w:hAnsi="宋体" w:eastAsia="宋体" w:cs="宋体"/>
                <w:color w:val="auto"/>
                <w:kern w:val="0"/>
                <w:sz w:val="24"/>
                <w:szCs w:val="24"/>
                <w:highlight w:val="none"/>
                <w:vertAlign w:val="baseline"/>
                <w:lang w:val="en-US" w:eastAsia="zh-CN"/>
              </w:rPr>
            </w:pPr>
          </w:p>
        </w:tc>
        <w:tc>
          <w:tcPr>
            <w:tcW w:w="950" w:type="dxa"/>
            <w:vAlign w:val="center"/>
          </w:tcPr>
          <w:p w14:paraId="3419D4AD">
            <w:pPr>
              <w:pStyle w:val="5"/>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宋体" w:hAnsi="宋体" w:eastAsia="宋体" w:cs="宋体"/>
                <w:color w:val="auto"/>
                <w:kern w:val="0"/>
                <w:sz w:val="24"/>
                <w:szCs w:val="24"/>
                <w:highlight w:val="none"/>
                <w:vertAlign w:val="baseline"/>
                <w:lang w:val="en-US" w:eastAsia="zh-CN"/>
              </w:rPr>
            </w:pPr>
          </w:p>
        </w:tc>
        <w:tc>
          <w:tcPr>
            <w:tcW w:w="3487" w:type="dxa"/>
            <w:vAlign w:val="center"/>
          </w:tcPr>
          <w:p w14:paraId="6EA8A5CC">
            <w:pPr>
              <w:pStyle w:val="5"/>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宋体" w:hAnsi="宋体" w:eastAsia="宋体" w:cs="宋体"/>
                <w:color w:val="auto"/>
                <w:kern w:val="0"/>
                <w:sz w:val="24"/>
                <w:szCs w:val="24"/>
                <w:highlight w:val="none"/>
                <w:vertAlign w:val="baseline"/>
                <w:lang w:val="en-US" w:eastAsia="zh-CN"/>
              </w:rPr>
            </w:pPr>
          </w:p>
        </w:tc>
        <w:tc>
          <w:tcPr>
            <w:tcW w:w="1258" w:type="dxa"/>
            <w:vAlign w:val="center"/>
          </w:tcPr>
          <w:p w14:paraId="3B437CB3">
            <w:pPr>
              <w:pStyle w:val="5"/>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宋体" w:hAnsi="宋体" w:eastAsia="宋体" w:cs="宋体"/>
                <w:color w:val="auto"/>
                <w:kern w:val="0"/>
                <w:sz w:val="24"/>
                <w:szCs w:val="24"/>
                <w:highlight w:val="none"/>
                <w:vertAlign w:val="baseline"/>
                <w:lang w:val="en-US" w:eastAsia="zh-CN"/>
              </w:rPr>
            </w:pPr>
          </w:p>
        </w:tc>
      </w:tr>
      <w:tr w14:paraId="1B960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8" w:type="dxa"/>
            <w:vAlign w:val="center"/>
          </w:tcPr>
          <w:p w14:paraId="06794A04">
            <w:pPr>
              <w:pStyle w:val="5"/>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宋体" w:hAnsi="宋体" w:eastAsia="宋体" w:cs="宋体"/>
                <w:color w:val="auto"/>
                <w:kern w:val="0"/>
                <w:sz w:val="24"/>
                <w:szCs w:val="24"/>
                <w:highlight w:val="none"/>
                <w:vertAlign w:val="baseline"/>
                <w:lang w:val="en-US" w:eastAsia="zh-CN"/>
              </w:rPr>
            </w:pPr>
          </w:p>
        </w:tc>
        <w:tc>
          <w:tcPr>
            <w:tcW w:w="2648" w:type="dxa"/>
            <w:gridSpan w:val="2"/>
            <w:vAlign w:val="center"/>
          </w:tcPr>
          <w:p w14:paraId="193A0FB0">
            <w:pPr>
              <w:pStyle w:val="5"/>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宋体" w:hAnsi="宋体" w:eastAsia="宋体" w:cs="宋体"/>
                <w:color w:val="auto"/>
                <w:kern w:val="0"/>
                <w:sz w:val="24"/>
                <w:szCs w:val="24"/>
                <w:highlight w:val="none"/>
                <w:vertAlign w:val="baseline"/>
                <w:lang w:val="en-US" w:eastAsia="zh-CN"/>
              </w:rPr>
            </w:pPr>
          </w:p>
        </w:tc>
        <w:tc>
          <w:tcPr>
            <w:tcW w:w="950" w:type="dxa"/>
            <w:vAlign w:val="center"/>
          </w:tcPr>
          <w:p w14:paraId="6FB662B4">
            <w:pPr>
              <w:pStyle w:val="5"/>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宋体" w:hAnsi="宋体" w:eastAsia="宋体" w:cs="宋体"/>
                <w:color w:val="auto"/>
                <w:kern w:val="0"/>
                <w:sz w:val="24"/>
                <w:szCs w:val="24"/>
                <w:highlight w:val="none"/>
                <w:vertAlign w:val="baseline"/>
                <w:lang w:val="en-US" w:eastAsia="zh-CN"/>
              </w:rPr>
            </w:pPr>
          </w:p>
        </w:tc>
        <w:tc>
          <w:tcPr>
            <w:tcW w:w="3487" w:type="dxa"/>
            <w:vAlign w:val="center"/>
          </w:tcPr>
          <w:p w14:paraId="139E4E74">
            <w:pPr>
              <w:pStyle w:val="5"/>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宋体" w:hAnsi="宋体" w:eastAsia="宋体" w:cs="宋体"/>
                <w:color w:val="auto"/>
                <w:kern w:val="0"/>
                <w:sz w:val="24"/>
                <w:szCs w:val="24"/>
                <w:highlight w:val="none"/>
                <w:vertAlign w:val="baseline"/>
                <w:lang w:val="en-US" w:eastAsia="zh-CN"/>
              </w:rPr>
            </w:pPr>
          </w:p>
        </w:tc>
        <w:tc>
          <w:tcPr>
            <w:tcW w:w="1258" w:type="dxa"/>
            <w:vAlign w:val="center"/>
          </w:tcPr>
          <w:p w14:paraId="6C4EBE30">
            <w:pPr>
              <w:pStyle w:val="5"/>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宋体" w:hAnsi="宋体" w:eastAsia="宋体" w:cs="宋体"/>
                <w:color w:val="auto"/>
                <w:kern w:val="0"/>
                <w:sz w:val="24"/>
                <w:szCs w:val="24"/>
                <w:highlight w:val="none"/>
                <w:vertAlign w:val="baseline"/>
                <w:lang w:val="en-US" w:eastAsia="zh-CN"/>
              </w:rPr>
            </w:pPr>
          </w:p>
        </w:tc>
      </w:tr>
      <w:tr w14:paraId="222A1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8" w:type="dxa"/>
            <w:vAlign w:val="center"/>
          </w:tcPr>
          <w:p w14:paraId="59A647C9">
            <w:pPr>
              <w:pStyle w:val="5"/>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宋体" w:hAnsi="宋体" w:eastAsia="宋体" w:cs="宋体"/>
                <w:color w:val="auto"/>
                <w:kern w:val="0"/>
                <w:sz w:val="24"/>
                <w:szCs w:val="24"/>
                <w:highlight w:val="none"/>
                <w:vertAlign w:val="baseline"/>
                <w:lang w:val="en-US" w:eastAsia="zh-CN"/>
              </w:rPr>
            </w:pPr>
          </w:p>
        </w:tc>
        <w:tc>
          <w:tcPr>
            <w:tcW w:w="2648" w:type="dxa"/>
            <w:gridSpan w:val="2"/>
            <w:vAlign w:val="center"/>
          </w:tcPr>
          <w:p w14:paraId="2376E7E1">
            <w:pPr>
              <w:pStyle w:val="5"/>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宋体" w:hAnsi="宋体" w:eastAsia="宋体" w:cs="宋体"/>
                <w:color w:val="auto"/>
                <w:kern w:val="0"/>
                <w:sz w:val="24"/>
                <w:szCs w:val="24"/>
                <w:highlight w:val="none"/>
                <w:vertAlign w:val="baseline"/>
                <w:lang w:val="en-US" w:eastAsia="zh-CN"/>
              </w:rPr>
            </w:pPr>
          </w:p>
        </w:tc>
        <w:tc>
          <w:tcPr>
            <w:tcW w:w="950" w:type="dxa"/>
            <w:vAlign w:val="center"/>
          </w:tcPr>
          <w:p w14:paraId="421B889F">
            <w:pPr>
              <w:pStyle w:val="5"/>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宋体" w:hAnsi="宋体" w:eastAsia="宋体" w:cs="宋体"/>
                <w:color w:val="auto"/>
                <w:kern w:val="0"/>
                <w:sz w:val="24"/>
                <w:szCs w:val="24"/>
                <w:highlight w:val="none"/>
                <w:vertAlign w:val="baseline"/>
                <w:lang w:val="en-US" w:eastAsia="zh-CN"/>
              </w:rPr>
            </w:pPr>
          </w:p>
        </w:tc>
        <w:tc>
          <w:tcPr>
            <w:tcW w:w="3487" w:type="dxa"/>
            <w:vAlign w:val="center"/>
          </w:tcPr>
          <w:p w14:paraId="782D4C71">
            <w:pPr>
              <w:pStyle w:val="5"/>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宋体" w:hAnsi="宋体" w:eastAsia="宋体" w:cs="宋体"/>
                <w:color w:val="auto"/>
                <w:kern w:val="0"/>
                <w:sz w:val="24"/>
                <w:szCs w:val="24"/>
                <w:highlight w:val="none"/>
                <w:vertAlign w:val="baseline"/>
                <w:lang w:val="en-US" w:eastAsia="zh-CN"/>
              </w:rPr>
            </w:pPr>
          </w:p>
        </w:tc>
        <w:tc>
          <w:tcPr>
            <w:tcW w:w="1258" w:type="dxa"/>
            <w:vAlign w:val="center"/>
          </w:tcPr>
          <w:p w14:paraId="5E2663EC">
            <w:pPr>
              <w:pStyle w:val="5"/>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宋体" w:hAnsi="宋体" w:eastAsia="宋体" w:cs="宋体"/>
                <w:color w:val="auto"/>
                <w:kern w:val="0"/>
                <w:sz w:val="24"/>
                <w:szCs w:val="24"/>
                <w:highlight w:val="none"/>
                <w:vertAlign w:val="baseline"/>
                <w:lang w:val="en-US" w:eastAsia="zh-CN"/>
              </w:rPr>
            </w:pPr>
          </w:p>
        </w:tc>
      </w:tr>
      <w:tr w14:paraId="4A57B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8" w:type="dxa"/>
            <w:vAlign w:val="center"/>
          </w:tcPr>
          <w:p w14:paraId="2017E282">
            <w:pPr>
              <w:pStyle w:val="5"/>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宋体" w:hAnsi="宋体" w:eastAsia="宋体" w:cs="宋体"/>
                <w:color w:val="auto"/>
                <w:kern w:val="0"/>
                <w:sz w:val="24"/>
                <w:szCs w:val="24"/>
                <w:highlight w:val="none"/>
                <w:vertAlign w:val="baseline"/>
                <w:lang w:val="en-US" w:eastAsia="zh-CN"/>
              </w:rPr>
            </w:pPr>
          </w:p>
        </w:tc>
        <w:tc>
          <w:tcPr>
            <w:tcW w:w="2648" w:type="dxa"/>
            <w:gridSpan w:val="2"/>
            <w:vAlign w:val="center"/>
          </w:tcPr>
          <w:p w14:paraId="208C71FF">
            <w:pPr>
              <w:pStyle w:val="5"/>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宋体" w:hAnsi="宋体" w:eastAsia="宋体" w:cs="宋体"/>
                <w:color w:val="auto"/>
                <w:kern w:val="0"/>
                <w:sz w:val="24"/>
                <w:szCs w:val="24"/>
                <w:highlight w:val="none"/>
                <w:vertAlign w:val="baseline"/>
                <w:lang w:val="en-US" w:eastAsia="zh-CN"/>
              </w:rPr>
            </w:pPr>
          </w:p>
        </w:tc>
        <w:tc>
          <w:tcPr>
            <w:tcW w:w="950" w:type="dxa"/>
            <w:vAlign w:val="center"/>
          </w:tcPr>
          <w:p w14:paraId="59332240">
            <w:pPr>
              <w:pStyle w:val="5"/>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宋体" w:hAnsi="宋体" w:eastAsia="宋体" w:cs="宋体"/>
                <w:color w:val="auto"/>
                <w:kern w:val="0"/>
                <w:sz w:val="24"/>
                <w:szCs w:val="24"/>
                <w:highlight w:val="none"/>
                <w:vertAlign w:val="baseline"/>
                <w:lang w:val="en-US" w:eastAsia="zh-CN"/>
              </w:rPr>
            </w:pPr>
          </w:p>
        </w:tc>
        <w:tc>
          <w:tcPr>
            <w:tcW w:w="3487" w:type="dxa"/>
            <w:vAlign w:val="center"/>
          </w:tcPr>
          <w:p w14:paraId="17ED6ABE">
            <w:pPr>
              <w:pStyle w:val="5"/>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宋体" w:hAnsi="宋体" w:eastAsia="宋体" w:cs="宋体"/>
                <w:color w:val="auto"/>
                <w:kern w:val="0"/>
                <w:sz w:val="24"/>
                <w:szCs w:val="24"/>
                <w:highlight w:val="none"/>
                <w:vertAlign w:val="baseline"/>
                <w:lang w:val="en-US" w:eastAsia="zh-CN"/>
              </w:rPr>
            </w:pPr>
          </w:p>
        </w:tc>
        <w:tc>
          <w:tcPr>
            <w:tcW w:w="1258" w:type="dxa"/>
            <w:vAlign w:val="center"/>
          </w:tcPr>
          <w:p w14:paraId="080033B1">
            <w:pPr>
              <w:pStyle w:val="5"/>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宋体" w:hAnsi="宋体" w:eastAsia="宋体" w:cs="宋体"/>
                <w:color w:val="auto"/>
                <w:kern w:val="0"/>
                <w:sz w:val="24"/>
                <w:szCs w:val="24"/>
                <w:highlight w:val="none"/>
                <w:vertAlign w:val="baseline"/>
                <w:lang w:val="en-US" w:eastAsia="zh-CN"/>
              </w:rPr>
            </w:pPr>
          </w:p>
        </w:tc>
      </w:tr>
      <w:tr w14:paraId="7CE21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8" w:type="dxa"/>
            <w:vAlign w:val="center"/>
          </w:tcPr>
          <w:p w14:paraId="56E0B7A6">
            <w:pPr>
              <w:pStyle w:val="5"/>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宋体" w:hAnsi="宋体" w:eastAsia="宋体" w:cs="宋体"/>
                <w:color w:val="auto"/>
                <w:kern w:val="0"/>
                <w:sz w:val="24"/>
                <w:szCs w:val="24"/>
                <w:highlight w:val="none"/>
                <w:vertAlign w:val="baseline"/>
                <w:lang w:val="en-US" w:eastAsia="zh-CN"/>
              </w:rPr>
            </w:pPr>
          </w:p>
        </w:tc>
        <w:tc>
          <w:tcPr>
            <w:tcW w:w="2648" w:type="dxa"/>
            <w:gridSpan w:val="2"/>
            <w:vAlign w:val="center"/>
          </w:tcPr>
          <w:p w14:paraId="520CC8E6">
            <w:pPr>
              <w:pStyle w:val="5"/>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宋体" w:hAnsi="宋体" w:eastAsia="宋体" w:cs="宋体"/>
                <w:color w:val="auto"/>
                <w:kern w:val="0"/>
                <w:sz w:val="24"/>
                <w:szCs w:val="24"/>
                <w:highlight w:val="none"/>
                <w:vertAlign w:val="baseline"/>
                <w:lang w:val="en-US" w:eastAsia="zh-CN"/>
              </w:rPr>
            </w:pPr>
          </w:p>
        </w:tc>
        <w:tc>
          <w:tcPr>
            <w:tcW w:w="950" w:type="dxa"/>
            <w:vAlign w:val="center"/>
          </w:tcPr>
          <w:p w14:paraId="238CA40E">
            <w:pPr>
              <w:pStyle w:val="5"/>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宋体" w:hAnsi="宋体" w:eastAsia="宋体" w:cs="宋体"/>
                <w:color w:val="auto"/>
                <w:kern w:val="0"/>
                <w:sz w:val="24"/>
                <w:szCs w:val="24"/>
                <w:highlight w:val="none"/>
                <w:vertAlign w:val="baseline"/>
                <w:lang w:val="en-US" w:eastAsia="zh-CN"/>
              </w:rPr>
            </w:pPr>
          </w:p>
        </w:tc>
        <w:tc>
          <w:tcPr>
            <w:tcW w:w="3487" w:type="dxa"/>
            <w:vAlign w:val="center"/>
          </w:tcPr>
          <w:p w14:paraId="7E145A28">
            <w:pPr>
              <w:pStyle w:val="5"/>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宋体" w:hAnsi="宋体" w:eastAsia="宋体" w:cs="宋体"/>
                <w:color w:val="auto"/>
                <w:kern w:val="0"/>
                <w:sz w:val="24"/>
                <w:szCs w:val="24"/>
                <w:highlight w:val="none"/>
                <w:vertAlign w:val="baseline"/>
                <w:lang w:val="en-US" w:eastAsia="zh-CN"/>
              </w:rPr>
            </w:pPr>
          </w:p>
        </w:tc>
        <w:tc>
          <w:tcPr>
            <w:tcW w:w="1258" w:type="dxa"/>
            <w:vAlign w:val="center"/>
          </w:tcPr>
          <w:p w14:paraId="7F0431A9">
            <w:pPr>
              <w:pStyle w:val="5"/>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宋体" w:hAnsi="宋体" w:eastAsia="宋体" w:cs="宋体"/>
                <w:color w:val="auto"/>
                <w:kern w:val="0"/>
                <w:sz w:val="24"/>
                <w:szCs w:val="24"/>
                <w:highlight w:val="none"/>
                <w:vertAlign w:val="baseline"/>
                <w:lang w:val="en-US" w:eastAsia="zh-CN"/>
              </w:rPr>
            </w:pPr>
          </w:p>
        </w:tc>
      </w:tr>
      <w:tr w14:paraId="6104D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61" w:type="dxa"/>
            <w:gridSpan w:val="6"/>
            <w:vAlign w:val="center"/>
          </w:tcPr>
          <w:p w14:paraId="2DE38EEC">
            <w:pPr>
              <w:pStyle w:val="5"/>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right="0" w:rightChars="0"/>
              <w:jc w:val="both"/>
              <w:textAlignment w:val="auto"/>
              <w:rPr>
                <w:rFonts w:hint="default" w:ascii="宋体" w:hAnsi="宋体" w:eastAsia="宋体" w:cs="宋体"/>
                <w:b/>
                <w:bCs/>
                <w:color w:val="auto"/>
                <w:kern w:val="0"/>
                <w:sz w:val="24"/>
                <w:szCs w:val="24"/>
                <w:highlight w:val="none"/>
                <w:vertAlign w:val="baseline"/>
                <w:lang w:val="en-US" w:eastAsia="zh-CN"/>
              </w:rPr>
            </w:pPr>
            <w:r>
              <w:rPr>
                <w:rFonts w:hint="eastAsia" w:ascii="宋体" w:hAnsi="宋体" w:eastAsia="宋体" w:cs="宋体"/>
                <w:b/>
                <w:bCs/>
                <w:color w:val="auto"/>
                <w:kern w:val="0"/>
                <w:sz w:val="24"/>
                <w:szCs w:val="24"/>
                <w:highlight w:val="none"/>
                <w:vertAlign w:val="baseline"/>
                <w:lang w:val="en-US" w:eastAsia="zh-CN"/>
              </w:rPr>
              <w:t>综合得分：</w:t>
            </w:r>
          </w:p>
        </w:tc>
      </w:tr>
      <w:tr w14:paraId="72669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61" w:type="dxa"/>
            <w:gridSpan w:val="6"/>
            <w:vAlign w:val="center"/>
          </w:tcPr>
          <w:p w14:paraId="10B63EA0">
            <w:pPr>
              <w:pStyle w:val="5"/>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right="0" w:rightChars="0"/>
              <w:jc w:val="both"/>
              <w:textAlignment w:val="auto"/>
              <w:rPr>
                <w:rFonts w:hint="default" w:ascii="宋体" w:hAnsi="宋体" w:eastAsia="宋体" w:cs="宋体"/>
                <w:b/>
                <w:bCs/>
                <w:color w:val="auto"/>
                <w:kern w:val="0"/>
                <w:sz w:val="24"/>
                <w:szCs w:val="24"/>
                <w:highlight w:val="none"/>
                <w:vertAlign w:val="baseline"/>
                <w:lang w:val="en-US" w:eastAsia="zh-CN"/>
              </w:rPr>
            </w:pPr>
            <w:r>
              <w:rPr>
                <w:rFonts w:hint="eastAsia" w:ascii="宋体" w:hAnsi="宋体" w:eastAsia="宋体" w:cs="宋体"/>
                <w:b/>
                <w:bCs/>
                <w:color w:val="auto"/>
                <w:kern w:val="0"/>
                <w:sz w:val="24"/>
                <w:szCs w:val="24"/>
                <w:highlight w:val="none"/>
                <w:vertAlign w:val="baseline"/>
                <w:lang w:val="en-US" w:eastAsia="zh-CN"/>
              </w:rPr>
              <w:t>评定等级：</w:t>
            </w:r>
          </w:p>
        </w:tc>
      </w:tr>
    </w:tbl>
    <w:p w14:paraId="0DE37EED">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rightChars="0"/>
        <w:jc w:val="both"/>
        <w:textAlignment w:val="auto"/>
        <w:rPr>
          <w:rFonts w:hint="default" w:ascii="方正小标宋_GBK" w:hAnsi="宋体" w:eastAsia="方正小标宋_GBK" w:cs="仿宋_GB2312"/>
          <w:color w:val="auto"/>
          <w:kern w:val="0"/>
          <w:sz w:val="44"/>
          <w:szCs w:val="44"/>
          <w:highlight w:val="none"/>
          <w:lang w:val="en-US" w:eastAsia="zh-CN"/>
        </w:rPr>
        <w:sectPr>
          <w:pgSz w:w="11906" w:h="16838"/>
          <w:pgMar w:top="2098" w:right="1474" w:bottom="1984" w:left="1587" w:header="851" w:footer="992" w:gutter="0"/>
          <w:pgNumType w:fmt="decimal"/>
          <w:cols w:space="425" w:num="1"/>
          <w:docGrid w:type="lines" w:linePitch="312" w:charSpace="0"/>
        </w:sectPr>
      </w:pPr>
      <w:r>
        <w:rPr>
          <w:rFonts w:hint="eastAsia"/>
          <w:color w:val="auto"/>
          <w:sz w:val="22"/>
          <w:szCs w:val="28"/>
          <w:highlight w:val="none"/>
          <w:lang w:val="en-US" w:eastAsia="zh-CN"/>
        </w:rPr>
        <w:t>注：各业务科室每季度将加扣分情况汇总填表后报综合管理科。</w:t>
      </w:r>
    </w:p>
    <w:p w14:paraId="04E6FDEE">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right="0" w:rightChars="0"/>
        <w:jc w:val="both"/>
        <w:textAlignment w:val="auto"/>
        <w:rPr>
          <w:rFonts w:hint="eastAsia" w:ascii="黑体" w:hAnsi="黑体" w:eastAsia="黑体" w:cs="黑体"/>
          <w:color w:val="auto"/>
          <w:kern w:val="0"/>
          <w:sz w:val="32"/>
          <w:szCs w:val="32"/>
          <w:highlight w:val="none"/>
          <w:lang w:val="en-US" w:eastAsia="zh-CN"/>
        </w:rPr>
      </w:pPr>
      <w:bookmarkStart w:id="43" w:name="OLE_LINK13"/>
      <w:r>
        <w:rPr>
          <w:rFonts w:hint="eastAsia" w:ascii="黑体" w:hAnsi="黑体" w:eastAsia="黑体" w:cs="黑体"/>
          <w:color w:val="auto"/>
          <w:kern w:val="0"/>
          <w:sz w:val="32"/>
          <w:szCs w:val="32"/>
          <w:highlight w:val="none"/>
          <w:lang w:val="en-US" w:eastAsia="zh-CN"/>
        </w:rPr>
        <w:t>附件5</w:t>
      </w:r>
    </w:p>
    <w:p w14:paraId="3487CDA5">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right="0" w:rightChars="0"/>
        <w:jc w:val="both"/>
        <w:textAlignment w:val="auto"/>
        <w:rPr>
          <w:rFonts w:hint="default" w:ascii="黑体" w:hAnsi="黑体" w:eastAsia="黑体" w:cs="黑体"/>
          <w:color w:val="auto"/>
          <w:kern w:val="0"/>
          <w:sz w:val="32"/>
          <w:szCs w:val="32"/>
          <w:highlight w:val="none"/>
          <w:lang w:val="en-US" w:eastAsia="zh-CN"/>
        </w:rPr>
      </w:pPr>
    </w:p>
    <w:p w14:paraId="7F0DFD1C">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200" w:afterAutospacing="0" w:line="520" w:lineRule="exact"/>
        <w:ind w:right="0" w:rightChars="0"/>
        <w:jc w:val="center"/>
        <w:textAlignment w:val="auto"/>
        <w:rPr>
          <w:rFonts w:hint="eastAsia" w:ascii="方正小标宋_GBK" w:hAnsi="宋体" w:eastAsia="方正小标宋_GBK" w:cs="仿宋_GB2312"/>
          <w:color w:val="auto"/>
          <w:kern w:val="0"/>
          <w:sz w:val="44"/>
          <w:szCs w:val="44"/>
          <w:highlight w:val="none"/>
          <w:lang w:val="en-US" w:eastAsia="zh-CN"/>
        </w:rPr>
      </w:pPr>
      <w:bookmarkStart w:id="44" w:name="OLE_LINK16"/>
      <w:r>
        <w:rPr>
          <w:rFonts w:hint="eastAsia" w:ascii="方正小标宋_GBK" w:hAnsi="宋体" w:eastAsia="方正小标宋_GBK" w:cs="仿宋_GB2312"/>
          <w:color w:val="auto"/>
          <w:kern w:val="0"/>
          <w:sz w:val="44"/>
          <w:szCs w:val="44"/>
          <w:highlight w:val="none"/>
          <w:lang w:val="en-US" w:eastAsia="zh-CN"/>
        </w:rPr>
        <w:t>代理机构进场交易行为</w:t>
      </w:r>
      <w:bookmarkEnd w:id="43"/>
      <w:r>
        <w:rPr>
          <w:rFonts w:hint="eastAsia" w:ascii="方正小标宋_GBK" w:hAnsi="宋体" w:eastAsia="方正小标宋_GBK" w:cs="仿宋_GB2312"/>
          <w:color w:val="auto"/>
          <w:kern w:val="0"/>
          <w:sz w:val="44"/>
          <w:szCs w:val="44"/>
          <w:highlight w:val="none"/>
          <w:lang w:val="en-US" w:eastAsia="zh-CN"/>
        </w:rPr>
        <w:t>记分申诉表</w:t>
      </w:r>
      <w:bookmarkEnd w:id="44"/>
    </w:p>
    <w:tbl>
      <w:tblPr>
        <w:tblStyle w:val="7"/>
        <w:tblW w:w="9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4"/>
        <w:gridCol w:w="245"/>
        <w:gridCol w:w="2051"/>
        <w:gridCol w:w="2468"/>
        <w:gridCol w:w="2278"/>
      </w:tblGrid>
      <w:tr w14:paraId="46337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59" w:type="dxa"/>
            <w:gridSpan w:val="2"/>
            <w:noWrap w:val="0"/>
            <w:vAlign w:val="center"/>
          </w:tcPr>
          <w:p w14:paraId="4975AF30">
            <w:pPr>
              <w:tabs>
                <w:tab w:val="left" w:pos="807"/>
              </w:tabs>
              <w:bidi w:val="0"/>
              <w:jc w:val="center"/>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申诉人</w:t>
            </w:r>
          </w:p>
        </w:tc>
        <w:tc>
          <w:tcPr>
            <w:tcW w:w="2051" w:type="dxa"/>
            <w:noWrap w:val="0"/>
            <w:vAlign w:val="center"/>
          </w:tcPr>
          <w:p w14:paraId="7898817A">
            <w:pPr>
              <w:tabs>
                <w:tab w:val="left" w:pos="807"/>
              </w:tabs>
              <w:bidi w:val="0"/>
              <w:jc w:val="center"/>
              <w:rPr>
                <w:rFonts w:hint="eastAsia" w:ascii="仿宋_GB2312" w:hAnsi="仿宋_GB2312" w:eastAsia="仿宋_GB2312" w:cs="仿宋_GB2312"/>
                <w:color w:val="auto"/>
                <w:sz w:val="28"/>
                <w:szCs w:val="28"/>
                <w:highlight w:val="none"/>
                <w:vertAlign w:val="baseline"/>
                <w:lang w:val="en-US" w:eastAsia="zh-CN"/>
              </w:rPr>
            </w:pPr>
          </w:p>
        </w:tc>
        <w:tc>
          <w:tcPr>
            <w:tcW w:w="2468" w:type="dxa"/>
            <w:noWrap w:val="0"/>
            <w:vAlign w:val="center"/>
          </w:tcPr>
          <w:p w14:paraId="01C13ECF">
            <w:pPr>
              <w:tabs>
                <w:tab w:val="left" w:pos="807"/>
              </w:tabs>
              <w:bidi w:val="0"/>
              <w:jc w:val="center"/>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申诉日期</w:t>
            </w:r>
          </w:p>
        </w:tc>
        <w:tc>
          <w:tcPr>
            <w:tcW w:w="2278" w:type="dxa"/>
            <w:noWrap w:val="0"/>
            <w:vAlign w:val="center"/>
          </w:tcPr>
          <w:p w14:paraId="1FE7116A">
            <w:pPr>
              <w:tabs>
                <w:tab w:val="left" w:pos="807"/>
              </w:tabs>
              <w:bidi w:val="0"/>
              <w:jc w:val="center"/>
              <w:rPr>
                <w:rFonts w:hint="eastAsia" w:ascii="仿宋_GB2312" w:hAnsi="仿宋_GB2312" w:eastAsia="仿宋_GB2312" w:cs="仿宋_GB2312"/>
                <w:color w:val="auto"/>
                <w:sz w:val="28"/>
                <w:szCs w:val="28"/>
                <w:highlight w:val="none"/>
                <w:vertAlign w:val="baseline"/>
                <w:lang w:val="en-US" w:eastAsia="zh-CN"/>
              </w:rPr>
            </w:pPr>
          </w:p>
        </w:tc>
      </w:tr>
      <w:tr w14:paraId="1B7F6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9056" w:type="dxa"/>
            <w:gridSpan w:val="5"/>
            <w:noWrap w:val="0"/>
            <w:vAlign w:val="top"/>
          </w:tcPr>
          <w:p w14:paraId="689DF0D7">
            <w:pPr>
              <w:tabs>
                <w:tab w:val="left" w:pos="807"/>
              </w:tabs>
              <w:bidi w:val="0"/>
              <w:jc w:val="left"/>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申诉事项：</w:t>
            </w:r>
          </w:p>
        </w:tc>
      </w:tr>
      <w:tr w14:paraId="1758C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jc w:val="center"/>
        </w:trPr>
        <w:tc>
          <w:tcPr>
            <w:tcW w:w="9056" w:type="dxa"/>
            <w:gridSpan w:val="5"/>
            <w:noWrap w:val="0"/>
            <w:vAlign w:val="top"/>
          </w:tcPr>
          <w:p w14:paraId="451DC087">
            <w:pPr>
              <w:tabs>
                <w:tab w:val="left" w:pos="807"/>
              </w:tabs>
              <w:bidi w:val="0"/>
              <w:jc w:val="left"/>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申诉理由：</w:t>
            </w:r>
          </w:p>
        </w:tc>
      </w:tr>
      <w:tr w14:paraId="19073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3" w:hRule="atLeast"/>
          <w:jc w:val="center"/>
        </w:trPr>
        <w:tc>
          <w:tcPr>
            <w:tcW w:w="9056" w:type="dxa"/>
            <w:gridSpan w:val="5"/>
            <w:noWrap w:val="0"/>
            <w:vAlign w:val="top"/>
          </w:tcPr>
          <w:p w14:paraId="79D314E6">
            <w:pPr>
              <w:tabs>
                <w:tab w:val="left" w:pos="807"/>
              </w:tabs>
              <w:bidi w:val="0"/>
              <w:jc w:val="left"/>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申诉人所在单位意见：</w:t>
            </w:r>
          </w:p>
          <w:p w14:paraId="4AB23CD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color w:val="auto"/>
                <w:sz w:val="28"/>
                <w:szCs w:val="28"/>
                <w:highlight w:val="none"/>
                <w:lang w:val="en-US" w:eastAsia="zh-CN"/>
              </w:rPr>
            </w:pPr>
          </w:p>
          <w:p w14:paraId="374AF2CF">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color w:val="auto"/>
                <w:sz w:val="28"/>
                <w:szCs w:val="28"/>
                <w:highlight w:val="none"/>
                <w:lang w:val="en-US" w:eastAsia="zh-CN"/>
              </w:rPr>
            </w:pPr>
          </w:p>
          <w:p w14:paraId="08E81E9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color w:val="auto"/>
                <w:sz w:val="28"/>
                <w:szCs w:val="28"/>
                <w:highlight w:val="none"/>
                <w:lang w:val="en-US" w:eastAsia="zh-CN"/>
              </w:rPr>
            </w:pPr>
          </w:p>
          <w:p w14:paraId="00690C8C">
            <w:pPr>
              <w:keepNext w:val="0"/>
              <w:keepLines w:val="0"/>
              <w:pageBreakBefore w:val="0"/>
              <w:widowControl w:val="0"/>
              <w:tabs>
                <w:tab w:val="left" w:pos="6429"/>
              </w:tabs>
              <w:kinsoku/>
              <w:wordWrap w:val="0"/>
              <w:overflowPunct/>
              <w:topLinePunct w:val="0"/>
              <w:autoSpaceDE/>
              <w:autoSpaceDN/>
              <w:bidi w:val="0"/>
              <w:adjustRightInd/>
              <w:snapToGrid/>
              <w:spacing w:line="400" w:lineRule="exact"/>
              <w:jc w:val="righ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单位名称（盖章）      </w:t>
            </w:r>
          </w:p>
          <w:p w14:paraId="32470CDC">
            <w:pPr>
              <w:keepNext w:val="0"/>
              <w:keepLines w:val="0"/>
              <w:pageBreakBefore w:val="0"/>
              <w:widowControl w:val="0"/>
              <w:tabs>
                <w:tab w:val="left" w:pos="6429"/>
              </w:tabs>
              <w:kinsoku/>
              <w:wordWrap w:val="0"/>
              <w:overflowPunct/>
              <w:topLinePunct w:val="0"/>
              <w:autoSpaceDE/>
              <w:autoSpaceDN/>
              <w:bidi w:val="0"/>
              <w:adjustRightInd/>
              <w:snapToGrid/>
              <w:spacing w:line="400" w:lineRule="exact"/>
              <w:jc w:val="right"/>
              <w:textAlignment w:val="auto"/>
              <w:rPr>
                <w:rFonts w:hint="default"/>
                <w:color w:val="auto"/>
                <w:sz w:val="28"/>
                <w:szCs w:val="28"/>
                <w:highlight w:val="none"/>
                <w:lang w:val="en-US" w:eastAsia="zh-CN"/>
              </w:rPr>
            </w:pPr>
            <w:bookmarkStart w:id="45" w:name="OLE_LINK8"/>
            <w:r>
              <w:rPr>
                <w:rFonts w:hint="eastAsia" w:ascii="仿宋_GB2312" w:hAnsi="仿宋_GB2312" w:eastAsia="仿宋_GB2312" w:cs="仿宋_GB2312"/>
                <w:color w:val="auto"/>
                <w:sz w:val="28"/>
                <w:szCs w:val="28"/>
                <w:highlight w:val="none"/>
                <w:lang w:val="en-US" w:eastAsia="zh-CN"/>
              </w:rPr>
              <w:t xml:space="preserve">  年   月   日</w:t>
            </w:r>
            <w:bookmarkEnd w:id="45"/>
            <w:r>
              <w:rPr>
                <w:rFonts w:hint="eastAsia" w:ascii="仿宋_GB2312" w:hAnsi="仿宋_GB2312" w:eastAsia="仿宋_GB2312" w:cs="仿宋_GB2312"/>
                <w:color w:val="auto"/>
                <w:sz w:val="28"/>
                <w:szCs w:val="28"/>
                <w:highlight w:val="none"/>
                <w:lang w:val="en-US" w:eastAsia="zh-CN"/>
              </w:rPr>
              <w:t xml:space="preserve">    </w:t>
            </w:r>
          </w:p>
        </w:tc>
      </w:tr>
      <w:tr w14:paraId="18C8D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0" w:hRule="atLeast"/>
          <w:jc w:val="center"/>
        </w:trPr>
        <w:tc>
          <w:tcPr>
            <w:tcW w:w="9056" w:type="dxa"/>
            <w:gridSpan w:val="5"/>
            <w:noWrap w:val="0"/>
            <w:vAlign w:val="top"/>
          </w:tcPr>
          <w:p w14:paraId="655C60E6">
            <w:pPr>
              <w:tabs>
                <w:tab w:val="left" w:pos="6429"/>
              </w:tabs>
              <w:bidi w:val="0"/>
              <w:jc w:val="left"/>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受理结果：   申诉事项成立</w:t>
            </w:r>
            <w:r>
              <w:rPr>
                <w:rFonts w:hint="eastAsia" w:ascii="仿宋_GB2312" w:hAnsi="仿宋_GB2312" w:eastAsia="仿宋_GB2312" w:cs="仿宋_GB2312"/>
                <w:color w:val="auto"/>
                <w:sz w:val="28"/>
                <w:szCs w:val="28"/>
                <w:highlight w:val="none"/>
                <w:lang w:val="en-US" w:eastAsia="zh-CN"/>
              </w:rPr>
              <w:sym w:font="Wingdings" w:char="00A8"/>
            </w:r>
            <w:r>
              <w:rPr>
                <w:rFonts w:hint="eastAsia" w:ascii="仿宋_GB2312" w:hAnsi="仿宋_GB2312" w:eastAsia="仿宋_GB2312" w:cs="仿宋_GB2312"/>
                <w:color w:val="auto"/>
                <w:sz w:val="28"/>
                <w:szCs w:val="28"/>
                <w:highlight w:val="none"/>
                <w:lang w:val="en-US" w:eastAsia="zh-CN"/>
              </w:rPr>
              <w:t xml:space="preserve">     申诉事项不成立</w:t>
            </w:r>
            <w:r>
              <w:rPr>
                <w:rFonts w:hint="eastAsia" w:ascii="仿宋_GB2312" w:hAnsi="仿宋_GB2312" w:eastAsia="仿宋_GB2312" w:cs="仿宋_GB2312"/>
                <w:color w:val="auto"/>
                <w:sz w:val="28"/>
                <w:szCs w:val="28"/>
                <w:highlight w:val="none"/>
                <w:lang w:val="en-US" w:eastAsia="zh-CN"/>
              </w:rPr>
              <w:sym w:font="Wingdings" w:char="00A8"/>
            </w:r>
          </w:p>
          <w:p w14:paraId="41D7F4A0">
            <w:pPr>
              <w:tabs>
                <w:tab w:val="left" w:pos="6429"/>
              </w:tabs>
              <w:wordWrap w:val="0"/>
              <w:bidi w:val="0"/>
              <w:jc w:val="right"/>
              <w:rPr>
                <w:rFonts w:hint="eastAsia" w:ascii="仿宋_GB2312" w:hAnsi="仿宋_GB2312" w:eastAsia="仿宋_GB2312" w:cs="仿宋_GB2312"/>
                <w:color w:val="auto"/>
                <w:sz w:val="28"/>
                <w:szCs w:val="28"/>
                <w:highlight w:val="none"/>
                <w:lang w:val="en-US" w:eastAsia="zh-CN"/>
              </w:rPr>
            </w:pPr>
          </w:p>
          <w:p w14:paraId="507DDF29">
            <w:pPr>
              <w:tabs>
                <w:tab w:val="left" w:pos="6429"/>
              </w:tabs>
              <w:wordWrap w:val="0"/>
              <w:bidi w:val="0"/>
              <w:jc w:val="both"/>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 </w:t>
            </w:r>
          </w:p>
          <w:p w14:paraId="28306C0A">
            <w:pPr>
              <w:keepNext w:val="0"/>
              <w:keepLines w:val="0"/>
              <w:pageBreakBefore w:val="0"/>
              <w:widowControl w:val="0"/>
              <w:tabs>
                <w:tab w:val="left" w:pos="6429"/>
              </w:tabs>
              <w:kinsoku/>
              <w:wordWrap w:val="0"/>
              <w:overflowPunct/>
              <w:topLinePunct w:val="0"/>
              <w:autoSpaceDE/>
              <w:autoSpaceDN/>
              <w:bidi w:val="0"/>
              <w:adjustRightInd/>
              <w:snapToGrid/>
              <w:spacing w:line="400" w:lineRule="exact"/>
              <w:jc w:val="righ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年   月   日    </w:t>
            </w:r>
          </w:p>
        </w:tc>
      </w:tr>
      <w:tr w14:paraId="7648D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2014" w:type="dxa"/>
            <w:shd w:val="clear" w:color="auto" w:fill="auto"/>
            <w:noWrap w:val="0"/>
            <w:vAlign w:val="center"/>
          </w:tcPr>
          <w:p w14:paraId="5EC60CCD">
            <w:pPr>
              <w:pStyle w:val="5"/>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kern w:val="0"/>
                <w:sz w:val="28"/>
                <w:szCs w:val="28"/>
                <w:highlight w:val="none"/>
                <w:vertAlign w:val="baseline"/>
                <w:lang w:val="en-US" w:eastAsia="zh-CN"/>
              </w:rPr>
              <w:t>中心审核意见</w:t>
            </w:r>
          </w:p>
        </w:tc>
        <w:tc>
          <w:tcPr>
            <w:tcW w:w="7042" w:type="dxa"/>
            <w:gridSpan w:val="4"/>
            <w:shd w:val="clear" w:color="auto" w:fill="auto"/>
            <w:noWrap w:val="0"/>
            <w:vAlign w:val="center"/>
          </w:tcPr>
          <w:p w14:paraId="7723EE95">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auto"/>
                <w:kern w:val="0"/>
                <w:sz w:val="28"/>
                <w:szCs w:val="28"/>
                <w:highlight w:val="none"/>
                <w:vertAlign w:val="baseline"/>
                <w:lang w:val="en-US" w:eastAsia="zh-CN" w:bidi="ar"/>
              </w:rPr>
            </w:pPr>
          </w:p>
        </w:tc>
      </w:tr>
    </w:tbl>
    <w:p w14:paraId="461E8840">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rightChars="0"/>
        <w:jc w:val="both"/>
        <w:textAlignment w:val="auto"/>
        <w:rPr>
          <w:rFonts w:hint="eastAsia" w:ascii="方正小标宋_GBK" w:hAnsi="宋体" w:eastAsia="方正小标宋_GBK" w:cs="仿宋_GB2312"/>
          <w:color w:val="auto"/>
          <w:kern w:val="0"/>
          <w:sz w:val="40"/>
          <w:szCs w:val="40"/>
          <w:highlight w:val="none"/>
          <w:lang w:val="en-US" w:eastAsia="zh-CN"/>
        </w:rPr>
      </w:pPr>
      <w:bookmarkStart w:id="46" w:name="OLE_LINK50"/>
      <w:r>
        <w:rPr>
          <w:rFonts w:hint="eastAsia"/>
          <w:color w:val="auto"/>
          <w:sz w:val="22"/>
          <w:szCs w:val="28"/>
          <w:highlight w:val="none"/>
          <w:lang w:val="en-US" w:eastAsia="zh-CN"/>
        </w:rPr>
        <w:t>注：如有其他资料，可一并提交。</w:t>
      </w:r>
      <w:bookmarkEnd w:id="46"/>
    </w:p>
    <w:sectPr>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AB7CE">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DBDD2F">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ADBDD2F">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A6914D"/>
    <w:multiLevelType w:val="singleLevel"/>
    <w:tmpl w:val="CAA6914D"/>
    <w:lvl w:ilvl="0" w:tentative="0">
      <w:start w:val="1"/>
      <w:numFmt w:val="chineseCounting"/>
      <w:suff w:val="space"/>
      <w:lvlText w:val="第%1条"/>
      <w:lvlJc w:val="left"/>
      <w:rPr>
        <w:rFonts w:hint="eastAsia" w:ascii="仿宋_GB2312" w:hAnsi="仿宋_GB2312" w:eastAsia="仿宋_GB2312" w:cs="方正小标宋简体"/>
        <w:b/>
        <w:bCs/>
        <w:sz w:val="32"/>
        <w:szCs w:val="32"/>
        <w:highlight w:val="none"/>
      </w:rPr>
    </w:lvl>
  </w:abstractNum>
  <w:abstractNum w:abstractNumId="1">
    <w:nsid w:val="FE62B5F6"/>
    <w:multiLevelType w:val="singleLevel"/>
    <w:tmpl w:val="FE62B5F6"/>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xYTQ2YmJiMjcyOTg1ZTI4NTAxM2E3OWJhMGUyNzMifQ=="/>
  </w:docVars>
  <w:rsids>
    <w:rsidRoot w:val="5C2A4108"/>
    <w:rsid w:val="0019257C"/>
    <w:rsid w:val="02E122A1"/>
    <w:rsid w:val="036A7513"/>
    <w:rsid w:val="068A79CB"/>
    <w:rsid w:val="06AE2710"/>
    <w:rsid w:val="086A3979"/>
    <w:rsid w:val="090A7A43"/>
    <w:rsid w:val="0920202E"/>
    <w:rsid w:val="09DE54B6"/>
    <w:rsid w:val="0A37244D"/>
    <w:rsid w:val="0BB23541"/>
    <w:rsid w:val="11B87887"/>
    <w:rsid w:val="14E71E0F"/>
    <w:rsid w:val="19D55670"/>
    <w:rsid w:val="1FE57360"/>
    <w:rsid w:val="24F23318"/>
    <w:rsid w:val="27244721"/>
    <w:rsid w:val="273D5B1E"/>
    <w:rsid w:val="28EB0914"/>
    <w:rsid w:val="2D304432"/>
    <w:rsid w:val="30A546A0"/>
    <w:rsid w:val="31C610E2"/>
    <w:rsid w:val="325B473E"/>
    <w:rsid w:val="35B41A93"/>
    <w:rsid w:val="36FB3F3F"/>
    <w:rsid w:val="46E862DE"/>
    <w:rsid w:val="4D0536F1"/>
    <w:rsid w:val="53B62132"/>
    <w:rsid w:val="55257755"/>
    <w:rsid w:val="555C5E23"/>
    <w:rsid w:val="57DA770A"/>
    <w:rsid w:val="5C2A4108"/>
    <w:rsid w:val="5DA364EB"/>
    <w:rsid w:val="5E746629"/>
    <w:rsid w:val="71110A70"/>
    <w:rsid w:val="71657739"/>
    <w:rsid w:val="736E2DD3"/>
    <w:rsid w:val="742F4D17"/>
    <w:rsid w:val="783A703A"/>
    <w:rsid w:val="7D476EB3"/>
    <w:rsid w:val="7EC678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Emphasis"/>
    <w:basedOn w:val="8"/>
    <w:qFormat/>
    <w:uiPriority w:val="0"/>
    <w:rPr>
      <w:i/>
    </w:rPr>
  </w:style>
  <w:style w:type="character" w:customStyle="1" w:styleId="10">
    <w:name w:val="font51"/>
    <w:basedOn w:val="8"/>
    <w:qFormat/>
    <w:uiPriority w:val="0"/>
    <w:rPr>
      <w:rFonts w:hint="default" w:ascii="Calibri" w:hAnsi="Calibri" w:cs="Calibri"/>
      <w:color w:val="000000"/>
      <w:sz w:val="21"/>
      <w:szCs w:val="21"/>
      <w:u w:val="none"/>
    </w:rPr>
  </w:style>
  <w:style w:type="character" w:customStyle="1" w:styleId="11">
    <w:name w:val="font31"/>
    <w:basedOn w:val="8"/>
    <w:qFormat/>
    <w:uiPriority w:val="0"/>
    <w:rPr>
      <w:rFonts w:hint="eastAsia" w:ascii="宋体" w:hAnsi="宋体" w:eastAsia="宋体" w:cs="宋体"/>
      <w:color w:val="000000"/>
      <w:sz w:val="21"/>
      <w:szCs w:val="21"/>
      <w:u w:val="none"/>
    </w:rPr>
  </w:style>
  <w:style w:type="character" w:customStyle="1" w:styleId="12">
    <w:name w:val="font21"/>
    <w:basedOn w:val="8"/>
    <w:qFormat/>
    <w:uiPriority w:val="0"/>
    <w:rPr>
      <w:rFonts w:hint="default" w:ascii="Calibri" w:hAnsi="Calibri" w:cs="Calibri"/>
      <w:color w:val="000000"/>
      <w:sz w:val="21"/>
      <w:szCs w:val="21"/>
      <w:u w:val="none"/>
    </w:rPr>
  </w:style>
  <w:style w:type="character" w:customStyle="1" w:styleId="13">
    <w:name w:val="font41"/>
    <w:basedOn w:val="8"/>
    <w:qFormat/>
    <w:uiPriority w:val="0"/>
    <w:rPr>
      <w:rFonts w:hint="eastAsia" w:ascii="仿宋" w:hAnsi="仿宋" w:eastAsia="仿宋" w:cs="仿宋"/>
      <w:b/>
      <w:bCs/>
      <w:color w:val="000000"/>
      <w:sz w:val="23"/>
      <w:szCs w:val="23"/>
      <w:u w:val="none"/>
    </w:rPr>
  </w:style>
  <w:style w:type="character" w:customStyle="1" w:styleId="14">
    <w:name w:val="font11"/>
    <w:basedOn w:val="8"/>
    <w:qFormat/>
    <w:uiPriority w:val="0"/>
    <w:rPr>
      <w:rFonts w:hint="eastAsia" w:ascii="仿宋" w:hAnsi="仿宋" w:eastAsia="仿宋" w:cs="仿宋"/>
      <w:b/>
      <w:bCs/>
      <w:color w:val="000000"/>
      <w:sz w:val="22"/>
      <w:szCs w:val="22"/>
      <w:u w:val="none"/>
    </w:rPr>
  </w:style>
  <w:style w:type="table" w:customStyle="1" w:styleId="15">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7178</Words>
  <Characters>7294</Characters>
  <Lines>0</Lines>
  <Paragraphs>0</Paragraphs>
  <TotalTime>122</TotalTime>
  <ScaleCrop>false</ScaleCrop>
  <LinksUpToDate>false</LinksUpToDate>
  <CharactersWithSpaces>7390</CharactersWithSpaces>
  <Application>WPS Office_12.8.2.17148_F1E327BC-269C-435d-A152-05C5408002CA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2025-03-10T02:05:00Z</dcterms:created>
  <dc:creator>青鸟</dc:creator>
  <cp:lastModifiedBy>青鸟</cp:lastModifiedBy>
  <cp:lastPrinted>2025-06-11T01:15:00Z</cp:lastPrinted>
  <dcterms:modified xsi:type="dcterms:W3CDTF">2025-06-18T09:06:02Z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2052-12.8.2.17148</vt:lpwstr>
  </property>
  <property fmtid="{D5CDD505-2E9C-101B-9397-08002B2CF9AE}" pid="3" name="ICV">
    <vt:lpwstr>C30A145CF633401FB344FB73D1A0345A_13</vt:lpwstr>
  </property>
</Properties>
</file>