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highlight w:val="none"/>
          <w:lang w:val="en-US" w:eastAsia="zh-CN"/>
        </w:rPr>
      </w:pPr>
      <w:bookmarkStart w:id="0" w:name="_GoBack"/>
      <w:r>
        <w:rPr>
          <w:rFonts w:hint="eastAsia" w:ascii="宋体" w:hAnsi="宋体" w:eastAsia="宋体" w:cs="宋体"/>
          <w:b/>
          <w:bCs/>
          <w:sz w:val="44"/>
          <w:szCs w:val="44"/>
          <w:highlight w:val="none"/>
          <w:lang w:val="en-US" w:eastAsia="zh-CN"/>
        </w:rPr>
        <w:t>关于</w:t>
      </w:r>
      <w:r>
        <w:rPr>
          <w:rFonts w:hint="eastAsia" w:ascii="宋体" w:hAnsi="宋体" w:cs="宋体"/>
          <w:b/>
          <w:bCs/>
          <w:sz w:val="44"/>
          <w:szCs w:val="44"/>
          <w:highlight w:val="none"/>
          <w:lang w:val="en-US" w:eastAsia="zh-CN"/>
        </w:rPr>
        <w:t>明确</w:t>
      </w:r>
      <w:r>
        <w:rPr>
          <w:rFonts w:hint="eastAsia" w:ascii="宋体" w:hAnsi="宋体" w:eastAsia="宋体" w:cs="宋体"/>
          <w:b/>
          <w:bCs/>
          <w:sz w:val="44"/>
          <w:szCs w:val="44"/>
          <w:highlight w:val="none"/>
          <w:lang w:val="en-US" w:eastAsia="zh-CN"/>
        </w:rPr>
        <w:t>建设工程招</w:t>
      </w:r>
      <w:r>
        <w:rPr>
          <w:rFonts w:hint="eastAsia" w:ascii="宋体" w:hAnsi="宋体" w:cs="宋体"/>
          <w:b/>
          <w:bCs/>
          <w:sz w:val="44"/>
          <w:szCs w:val="44"/>
          <w:highlight w:val="none"/>
          <w:lang w:val="en-US" w:eastAsia="zh-CN"/>
        </w:rPr>
        <w:t>标</w:t>
      </w:r>
      <w:r>
        <w:rPr>
          <w:rFonts w:hint="eastAsia" w:ascii="宋体" w:hAnsi="宋体" w:eastAsia="宋体" w:cs="宋体"/>
          <w:b/>
          <w:bCs/>
          <w:sz w:val="44"/>
          <w:szCs w:val="44"/>
          <w:highlight w:val="none"/>
          <w:lang w:val="en-US" w:eastAsia="zh-CN"/>
        </w:rPr>
        <w:t>投标</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highlight w:val="none"/>
          <w:lang w:val="en-US" w:eastAsia="zh-CN"/>
        </w:rPr>
      </w:pPr>
      <w:r>
        <w:rPr>
          <w:rFonts w:hint="eastAsia" w:ascii="宋体" w:hAnsi="宋体" w:cs="宋体"/>
          <w:b/>
          <w:bCs/>
          <w:sz w:val="44"/>
          <w:szCs w:val="44"/>
          <w:highlight w:val="none"/>
          <w:lang w:val="en-US" w:eastAsia="zh-CN"/>
        </w:rPr>
        <w:t>管理工作</w:t>
      </w:r>
      <w:r>
        <w:rPr>
          <w:rFonts w:hint="eastAsia" w:ascii="宋体" w:hAnsi="宋体" w:eastAsia="宋体" w:cs="宋体"/>
          <w:b/>
          <w:bCs/>
          <w:sz w:val="44"/>
          <w:szCs w:val="44"/>
          <w:highlight w:val="none"/>
          <w:lang w:val="en-US" w:eastAsia="zh-CN"/>
        </w:rPr>
        <w:t>的通知</w:t>
      </w:r>
    </w:p>
    <w:bookmarkEnd w:id="0"/>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各有关单位：</w:t>
      </w:r>
    </w:p>
    <w:p>
      <w:pPr>
        <w:keepNext w:val="0"/>
        <w:keepLines w:val="0"/>
        <w:pageBreakBefore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sz w:val="32"/>
          <w:szCs w:val="32"/>
          <w:lang w:eastAsia="zh-CN"/>
        </w:rPr>
      </w:pPr>
      <w:r>
        <w:rPr>
          <w:rFonts w:hint="eastAsia" w:ascii="仿宋" w:hAnsi="仿宋" w:eastAsia="仿宋"/>
          <w:sz w:val="32"/>
          <w:szCs w:val="32"/>
        </w:rPr>
        <w:t>为贯彻</w:t>
      </w:r>
      <w:r>
        <w:rPr>
          <w:rFonts w:hint="eastAsia" w:ascii="仿宋" w:hAnsi="仿宋" w:eastAsia="仿宋"/>
          <w:sz w:val="32"/>
          <w:szCs w:val="32"/>
          <w:lang w:val="en-US" w:eastAsia="zh-CN"/>
        </w:rPr>
        <w:t>落实</w:t>
      </w:r>
      <w:r>
        <w:rPr>
          <w:rFonts w:hint="eastAsia" w:ascii="仿宋" w:hAnsi="仿宋" w:eastAsia="仿宋"/>
          <w:sz w:val="32"/>
          <w:szCs w:val="32"/>
        </w:rPr>
        <w:t>《</w:t>
      </w:r>
      <w:r>
        <w:rPr>
          <w:rFonts w:hint="eastAsia" w:ascii="仿宋" w:hAnsi="仿宋" w:eastAsia="仿宋"/>
          <w:sz w:val="32"/>
          <w:szCs w:val="32"/>
          <w:lang w:val="en-US" w:eastAsia="zh-CN"/>
        </w:rPr>
        <w:t>中华人民共和国招标投标法实施条例</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国务院令第613号</w:t>
      </w:r>
      <w:r>
        <w:rPr>
          <w:rFonts w:hint="eastAsia" w:ascii="仿宋" w:hAnsi="仿宋" w:eastAsia="仿宋"/>
          <w:sz w:val="32"/>
          <w:szCs w:val="32"/>
          <w:lang w:eastAsia="zh-CN"/>
        </w:rPr>
        <w:t>）</w:t>
      </w:r>
      <w:r>
        <w:rPr>
          <w:rFonts w:hint="eastAsia" w:ascii="仿宋" w:hAnsi="仿宋" w:eastAsia="仿宋"/>
          <w:sz w:val="32"/>
          <w:szCs w:val="32"/>
        </w:rPr>
        <w:t>和省</w:t>
      </w:r>
      <w:r>
        <w:rPr>
          <w:rFonts w:hint="eastAsia" w:ascii="仿宋" w:hAnsi="仿宋" w:eastAsia="仿宋"/>
          <w:sz w:val="32"/>
          <w:szCs w:val="32"/>
          <w:lang w:val="en-US" w:eastAsia="zh-CN"/>
        </w:rPr>
        <w:t>招标办关于印发《江苏省工程招标代理机构动态考评管理办法》（试行）的通知</w:t>
      </w:r>
      <w:r>
        <w:rPr>
          <w:rFonts w:hint="eastAsia" w:ascii="仿宋" w:hAnsi="仿宋" w:eastAsia="仿宋"/>
          <w:sz w:val="32"/>
          <w:szCs w:val="32"/>
        </w:rPr>
        <w:t>（苏建招办〔2018〕</w:t>
      </w:r>
      <w:r>
        <w:rPr>
          <w:rFonts w:hint="eastAsia" w:ascii="仿宋" w:hAnsi="仿宋" w:eastAsia="仿宋"/>
          <w:sz w:val="32"/>
          <w:szCs w:val="32"/>
          <w:lang w:val="en-US" w:eastAsia="zh-CN"/>
        </w:rPr>
        <w:t>9</w:t>
      </w:r>
      <w:r>
        <w:rPr>
          <w:rFonts w:hint="eastAsia" w:ascii="仿宋" w:hAnsi="仿宋" w:eastAsia="仿宋"/>
          <w:sz w:val="32"/>
          <w:szCs w:val="32"/>
        </w:rPr>
        <w:t>号）等相关文件精神，</w:t>
      </w:r>
      <w:r>
        <w:rPr>
          <w:rFonts w:hint="eastAsia" w:ascii="仿宋" w:hAnsi="仿宋" w:eastAsia="仿宋"/>
          <w:sz w:val="32"/>
          <w:szCs w:val="32"/>
          <w:lang w:val="en-US" w:eastAsia="zh-CN"/>
        </w:rPr>
        <w:t>进一步</w:t>
      </w:r>
      <w:r>
        <w:rPr>
          <w:rFonts w:hint="eastAsia" w:ascii="仿宋" w:hAnsi="仿宋" w:eastAsia="仿宋"/>
          <w:sz w:val="32"/>
          <w:szCs w:val="32"/>
        </w:rPr>
        <w:t>规范我市建设工程招标投标活动，维护公开、公平、公正和诚实守信的市场秩序，结合近期我市招投标市场出现的一些实际情况，通知如下</w:t>
      </w:r>
      <w:r>
        <w:rPr>
          <w:rFonts w:hint="eastAsia" w:ascii="仿宋" w:hAnsi="仿宋" w:eastAsia="仿宋"/>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招标人方面</w:t>
      </w:r>
    </w:p>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招标人须严格落实项目招标首要责任制，应当按照规定履行项目审批、核准手续，合理划分项目标段，依法受理并处理异议，不得肢解发包，不得以不合理的条件限制、排斥潜在投标人，禁止与投标人串通投标。</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投标人方面</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投标人应当严格遵守相关法律法规，有序参与建设工程招投标活动，不得弄虚作假、围标串标，不得损害招标人或者其他投标人的合法权益，不得扰乱市场秩序。</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 w:hAnsi="仿宋" w:eastAsia="仿宋"/>
          <w:sz w:val="32"/>
          <w:szCs w:val="32"/>
          <w:lang w:val="en-US" w:eastAsia="zh-CN"/>
        </w:rPr>
      </w:pPr>
      <w:r>
        <w:rPr>
          <w:rFonts w:hint="eastAsia" w:ascii="仿宋" w:hAnsi="仿宋" w:eastAsia="仿宋" w:cs="仿宋"/>
          <w:sz w:val="32"/>
          <w:szCs w:val="32"/>
          <w:lang w:val="en-US" w:eastAsia="zh-CN"/>
        </w:rPr>
        <w:t>太仓市建设工程招标投标办公室（下称市招标办）将持续深化“两场联动”，记录汇总投标人的不良投标行为和标后履约不力情况，按季度汇总上报上级行业主管部门，对相关投标企业予以信用评价扣分，直接影响企业下一季度在苏州大市范围内参与招投标活动。</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招标代理方面</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rPr>
        <w:t>招标代理机构</w:t>
      </w:r>
      <w:r>
        <w:rPr>
          <w:rFonts w:hint="eastAsia" w:ascii="仿宋" w:hAnsi="仿宋" w:eastAsia="仿宋"/>
          <w:sz w:val="32"/>
          <w:szCs w:val="32"/>
          <w:lang w:val="en-US" w:eastAsia="zh-CN"/>
        </w:rPr>
        <w:t>从业人员应当重诺守信，专业规范，</w:t>
      </w:r>
      <w:r>
        <w:rPr>
          <w:rFonts w:hint="eastAsia" w:ascii="仿宋" w:hAnsi="仿宋" w:eastAsia="仿宋"/>
          <w:sz w:val="32"/>
          <w:szCs w:val="32"/>
        </w:rPr>
        <w:t>发布招标</w:t>
      </w:r>
      <w:r>
        <w:rPr>
          <w:rFonts w:ascii="仿宋" w:hAnsi="仿宋" w:eastAsia="仿宋"/>
          <w:sz w:val="32"/>
          <w:szCs w:val="32"/>
        </w:rPr>
        <w:t>公告</w:t>
      </w:r>
      <w:r>
        <w:rPr>
          <w:rFonts w:hint="eastAsia" w:ascii="仿宋" w:hAnsi="仿宋" w:eastAsia="仿宋"/>
          <w:sz w:val="32"/>
          <w:szCs w:val="32"/>
        </w:rPr>
        <w:t>、招标文件应</w:t>
      </w:r>
      <w:r>
        <w:rPr>
          <w:rFonts w:hint="eastAsia" w:ascii="仿宋" w:hAnsi="仿宋" w:eastAsia="仿宋"/>
          <w:sz w:val="32"/>
          <w:szCs w:val="32"/>
          <w:lang w:val="en-US" w:eastAsia="zh-CN"/>
        </w:rPr>
        <w:t>当</w:t>
      </w:r>
      <w:r>
        <w:rPr>
          <w:rFonts w:hint="eastAsia" w:ascii="仿宋" w:hAnsi="仿宋" w:eastAsia="仿宋"/>
          <w:sz w:val="32"/>
          <w:szCs w:val="32"/>
        </w:rPr>
        <w:t>依法合</w:t>
      </w:r>
      <w:r>
        <w:rPr>
          <w:rFonts w:hint="eastAsia" w:ascii="仿宋" w:hAnsi="仿宋" w:eastAsia="仿宋"/>
          <w:sz w:val="32"/>
          <w:szCs w:val="32"/>
          <w:lang w:val="en-US" w:eastAsia="zh-CN"/>
        </w:rPr>
        <w:t>规</w:t>
      </w:r>
      <w:r>
        <w:rPr>
          <w:rFonts w:hint="eastAsia" w:ascii="仿宋" w:hAnsi="仿宋" w:eastAsia="仿宋"/>
          <w:sz w:val="32"/>
          <w:szCs w:val="32"/>
        </w:rPr>
        <w:t>，</w:t>
      </w:r>
      <w:r>
        <w:rPr>
          <w:rFonts w:hint="eastAsia" w:ascii="仿宋" w:hAnsi="仿宋" w:eastAsia="仿宋"/>
          <w:sz w:val="32"/>
          <w:szCs w:val="32"/>
          <w:lang w:val="en-US" w:eastAsia="zh-CN"/>
        </w:rPr>
        <w:t>招投标流程和系统操作应当熟练掌握，配合招标人和招标办做好异议投诉处理应当积极主动，递交的备案资料应当详实完备。</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苏州市公共资源交易中心太仓分中心（下称市交易中心）依据《招标代理日常行为考评标准》（附件一）职权范围内开展“一标一评”见证工作，作为市招标办</w:t>
      </w:r>
      <w:r>
        <w:rPr>
          <w:rFonts w:hint="eastAsia" w:ascii="仿宋" w:hAnsi="仿宋" w:eastAsia="仿宋"/>
          <w:snapToGrid/>
          <w:kern w:val="2"/>
          <w:sz w:val="32"/>
          <w:szCs w:val="32"/>
        </w:rPr>
        <w:t>开展“一标一评”</w:t>
      </w:r>
      <w:r>
        <w:rPr>
          <w:rFonts w:hint="eastAsia" w:ascii="仿宋" w:hAnsi="仿宋" w:eastAsia="仿宋"/>
          <w:snapToGrid/>
          <w:kern w:val="2"/>
          <w:sz w:val="32"/>
          <w:szCs w:val="32"/>
          <w:lang w:val="en-US" w:eastAsia="zh-CN"/>
        </w:rPr>
        <w:t>考评</w:t>
      </w:r>
      <w:r>
        <w:rPr>
          <w:rFonts w:hint="eastAsia" w:ascii="仿宋" w:hAnsi="仿宋" w:eastAsia="仿宋"/>
          <w:snapToGrid/>
          <w:kern w:val="2"/>
          <w:sz w:val="32"/>
          <w:szCs w:val="32"/>
        </w:rPr>
        <w:t>工作</w:t>
      </w:r>
      <w:r>
        <w:rPr>
          <w:rFonts w:hint="eastAsia" w:ascii="仿宋" w:hAnsi="仿宋" w:eastAsia="仿宋"/>
          <w:snapToGrid/>
          <w:kern w:val="2"/>
          <w:sz w:val="32"/>
          <w:szCs w:val="32"/>
          <w:lang w:val="en-US" w:eastAsia="zh-CN"/>
        </w:rPr>
        <w:t>的依据</w:t>
      </w:r>
      <w:r>
        <w:rPr>
          <w:rFonts w:hint="eastAsia" w:ascii="仿宋" w:hAnsi="仿宋" w:eastAsia="仿宋"/>
          <w:sz w:val="32"/>
          <w:szCs w:val="32"/>
          <w:lang w:eastAsia="zh-CN"/>
        </w:rPr>
        <w:t>。</w:t>
      </w:r>
      <w:r>
        <w:rPr>
          <w:rFonts w:hint="eastAsia" w:ascii="仿宋" w:hAnsi="仿宋" w:eastAsia="仿宋"/>
          <w:sz w:val="32"/>
          <w:szCs w:val="32"/>
          <w:lang w:val="en-US" w:eastAsia="zh-CN"/>
        </w:rPr>
        <w:t>市招标办</w:t>
      </w:r>
      <w:r>
        <w:rPr>
          <w:rFonts w:hint="eastAsia" w:ascii="仿宋" w:hAnsi="仿宋" w:eastAsia="仿宋"/>
          <w:sz w:val="32"/>
          <w:szCs w:val="32"/>
          <w:highlight w:val="none"/>
          <w:lang w:val="en-US" w:eastAsia="zh-CN"/>
        </w:rPr>
        <w:t>每年</w:t>
      </w:r>
      <w:r>
        <w:rPr>
          <w:rFonts w:hint="eastAsia" w:ascii="仿宋" w:hAnsi="仿宋" w:eastAsia="仿宋"/>
          <w:sz w:val="32"/>
          <w:szCs w:val="32"/>
        </w:rPr>
        <w:t>按项目标段对</w:t>
      </w:r>
      <w:r>
        <w:rPr>
          <w:rFonts w:hint="eastAsia" w:ascii="仿宋" w:hAnsi="仿宋" w:eastAsia="仿宋"/>
          <w:sz w:val="32"/>
          <w:szCs w:val="32"/>
          <w:lang w:val="en-US" w:eastAsia="zh-CN"/>
        </w:rPr>
        <w:t>代理机构</w:t>
      </w:r>
      <w:r>
        <w:rPr>
          <w:rFonts w:hint="eastAsia" w:ascii="仿宋" w:hAnsi="仿宋" w:eastAsia="仿宋"/>
          <w:sz w:val="32"/>
          <w:szCs w:val="32"/>
        </w:rPr>
        <w:t>进行考评</w:t>
      </w:r>
      <w:r>
        <w:rPr>
          <w:rFonts w:hint="eastAsia" w:ascii="仿宋" w:hAnsi="仿宋" w:eastAsia="仿宋"/>
          <w:sz w:val="32"/>
          <w:szCs w:val="32"/>
          <w:lang w:val="en-US" w:eastAsia="zh-CN"/>
        </w:rPr>
        <w:t>，考核年度内日常行为考评累计扣分</w:t>
      </w:r>
      <w:r>
        <w:rPr>
          <w:rFonts w:hint="eastAsia" w:ascii="仿宋" w:hAnsi="仿宋" w:eastAsia="仿宋"/>
          <w:sz w:val="32"/>
          <w:szCs w:val="32"/>
        </w:rPr>
        <w:t>达到</w:t>
      </w:r>
      <w:r>
        <w:rPr>
          <w:rFonts w:hint="eastAsia" w:ascii="仿宋" w:hAnsi="仿宋" w:eastAsia="仿宋"/>
          <w:sz w:val="32"/>
          <w:szCs w:val="32"/>
          <w:lang w:val="en-US" w:eastAsia="zh-CN"/>
        </w:rPr>
        <w:t>10</w:t>
      </w:r>
      <w:r>
        <w:rPr>
          <w:rFonts w:hint="eastAsia" w:ascii="仿宋" w:hAnsi="仿宋" w:eastAsia="仿宋"/>
          <w:sz w:val="32"/>
          <w:szCs w:val="32"/>
        </w:rPr>
        <w:t>分的</w:t>
      </w:r>
      <w:r>
        <w:rPr>
          <w:rFonts w:hint="eastAsia" w:ascii="仿宋" w:hAnsi="仿宋" w:eastAsia="仿宋"/>
          <w:sz w:val="32"/>
          <w:szCs w:val="32"/>
          <w:lang w:val="en-US" w:eastAsia="zh-CN"/>
        </w:rPr>
        <w:t>招标代理机构</w:t>
      </w:r>
      <w:r>
        <w:rPr>
          <w:rFonts w:hint="eastAsia" w:ascii="仿宋" w:hAnsi="仿宋" w:eastAsia="仿宋"/>
          <w:sz w:val="32"/>
          <w:szCs w:val="32"/>
        </w:rPr>
        <w:t>，</w:t>
      </w:r>
      <w:r>
        <w:rPr>
          <w:rFonts w:hint="eastAsia" w:ascii="仿宋" w:hAnsi="仿宋" w:eastAsia="仿宋"/>
          <w:sz w:val="32"/>
          <w:szCs w:val="32"/>
          <w:lang w:val="en-US" w:eastAsia="zh-CN"/>
        </w:rPr>
        <w:t>在完成已发布招标公告的项目代理服务后，进入30天的业务提升期，相关情况通报将公示在苏州市公共资源交易平台太仓分中心首页，期间暂停其参与公共资源交易活动，市招标办将抄送相关情况至各招标人</w:t>
      </w:r>
      <w:r>
        <w:rPr>
          <w:rFonts w:hint="eastAsia" w:ascii="仿宋" w:hAnsi="仿宋" w:eastAsia="仿宋"/>
          <w:sz w:val="32"/>
          <w:szCs w:val="32"/>
        </w:rPr>
        <w:t>。</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被暂停代理机构应当及时组织业务学习，积极提高执业能力，增强遵章守纪意识，并在暂停期限结束后向市招标办提交解除暂停申请和开展业务承诺的书面材料。</w:t>
      </w:r>
    </w:p>
    <w:p>
      <w:pPr>
        <w:keepNext w:val="0"/>
        <w:keepLines w:val="0"/>
        <w:pageBreakBefore w:val="0"/>
        <w:numPr>
          <w:ilvl w:val="0"/>
          <w:numId w:val="1"/>
        </w:numPr>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评标专家方面</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snapToGrid/>
          <w:kern w:val="2"/>
          <w:sz w:val="32"/>
          <w:szCs w:val="32"/>
          <w:lang w:val="en-US" w:eastAsia="zh-CN"/>
        </w:rPr>
      </w:pPr>
      <w:r>
        <w:rPr>
          <w:rFonts w:hint="eastAsia" w:ascii="仿宋" w:hAnsi="仿宋" w:eastAsia="仿宋"/>
          <w:snapToGrid/>
          <w:kern w:val="2"/>
          <w:sz w:val="32"/>
          <w:szCs w:val="32"/>
          <w:lang w:val="en-US" w:eastAsia="zh-CN"/>
        </w:rPr>
        <w:t>评标专家应当秉持客观、公正、审慎、择优的原则，根据评标文件进行独立评标，遵守评标工作纪律，不得泄露评标文件、评标情况和在评标过程中获悉的商业秘密和技术秘密，严格自律，同时应当配合监管部门处理质疑、投诉、申诉、复议和诉讼等事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sz w:val="32"/>
          <w:szCs w:val="32"/>
          <w:lang w:val="en-US" w:eastAsia="zh-CN"/>
        </w:rPr>
        <w:t>市交易中心依据《评标专家日常考评细则》（附件二）职权范围内开展“一标一评”见证工作，</w:t>
      </w:r>
      <w:r>
        <w:rPr>
          <w:rFonts w:hint="eastAsia" w:ascii="仿宋" w:hAnsi="仿宋" w:eastAsia="仿宋"/>
          <w:snapToGrid/>
          <w:kern w:val="2"/>
          <w:sz w:val="32"/>
          <w:szCs w:val="32"/>
          <w:lang w:val="en-US" w:eastAsia="zh-CN"/>
        </w:rPr>
        <w:t>市招标办</w:t>
      </w:r>
      <w:r>
        <w:rPr>
          <w:rFonts w:hint="eastAsia" w:ascii="仿宋" w:hAnsi="仿宋" w:eastAsia="仿宋"/>
          <w:sz w:val="32"/>
          <w:szCs w:val="32"/>
        </w:rPr>
        <w:t>按项目标段对评标专家进行考评，并建立台账按月统计汇总。</w:t>
      </w:r>
      <w:r>
        <w:rPr>
          <w:rFonts w:hint="eastAsia" w:ascii="仿宋" w:hAnsi="仿宋" w:eastAsia="仿宋" w:cs="仿宋"/>
          <w:color w:val="000000"/>
          <w:kern w:val="0"/>
          <w:sz w:val="32"/>
          <w:szCs w:val="32"/>
          <w:lang w:val="en-US" w:eastAsia="zh-CN" w:bidi="ar"/>
        </w:rPr>
        <w:t>评标专家在一个计分周期内累计扣满15分的,暂停3个月评标资格;累计扣满20分的,暂停6个月评标资格；累计暂停9个月及以上的,自暂停之日起三年内不得续聘评标专家资格;一次被扣20分的,暂停12个月评标资格或者视情节依法取消其评标专家资格。</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本通知自8月1日起执行，至2023年7月31日为一个考核年度。</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auto"/>
        <w:rPr>
          <w:rFonts w:hint="eastAsia" w:ascii="仿宋" w:hAnsi="仿宋" w:eastAsia="仿宋" w:cs="仿宋"/>
          <w:color w:val="000000"/>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640" w:firstLineChars="200"/>
        <w:jc w:val="left"/>
        <w:textAlignment w:val="auto"/>
        <w:rPr>
          <w:rFonts w:hint="default" w:ascii="仿宋" w:hAnsi="仿宋" w:eastAsia="仿宋" w:cs="仿宋"/>
          <w:color w:val="000000"/>
          <w:kern w:val="0"/>
          <w:sz w:val="32"/>
          <w:szCs w:val="32"/>
          <w:highlight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440" w:lineRule="exact"/>
        <w:ind w:left="3192" w:leftChars="1520" w:firstLine="0" w:firstLineChars="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太仓市建设工程招标投标办公室                       </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2880" w:firstLineChars="9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苏州市公共资源交易中心太仓分中心</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640" w:firstLineChars="200"/>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2022年7月29日</w:t>
      </w:r>
    </w:p>
    <w:p>
      <w:pPr>
        <w:numPr>
          <w:ilvl w:val="0"/>
          <w:numId w:val="0"/>
        </w:numPr>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附件一：招标代理机构日常行为考评标准</w:t>
      </w:r>
    </w:p>
    <w:p>
      <w:pPr>
        <w:numPr>
          <w:ilvl w:val="0"/>
          <w:numId w:val="0"/>
        </w:numPr>
        <w:jc w:val="left"/>
        <w:rPr>
          <w:rFonts w:hint="default" w:ascii="仿宋" w:hAnsi="仿宋" w:eastAsia="仿宋" w:cs="仿宋"/>
          <w:color w:val="000000"/>
          <w:kern w:val="0"/>
          <w:sz w:val="32"/>
          <w:szCs w:val="32"/>
          <w:lang w:val="en-US" w:eastAsia="zh-CN" w:bidi="ar"/>
        </w:rPr>
      </w:pPr>
    </w:p>
    <w:p>
      <w:pPr>
        <w:numPr>
          <w:ilvl w:val="0"/>
          <w:numId w:val="0"/>
        </w:numPr>
        <w:jc w:val="center"/>
      </w:pPr>
      <w:r>
        <w:drawing>
          <wp:inline distT="0" distB="0" distL="114300" distR="114300">
            <wp:extent cx="5271135" cy="7477125"/>
            <wp:effectExtent l="0" t="0" r="5715" b="9525"/>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5"/>
                    <a:stretch>
                      <a:fillRect/>
                    </a:stretch>
                  </pic:blipFill>
                  <pic:spPr>
                    <a:xfrm>
                      <a:off x="0" y="0"/>
                      <a:ext cx="5271135" cy="7477125"/>
                    </a:xfrm>
                    <a:prstGeom prst="rect">
                      <a:avLst/>
                    </a:prstGeom>
                    <a:noFill/>
                    <a:ln w="9525">
                      <a:noFill/>
                      <a:miter/>
                    </a:ln>
                  </pic:spPr>
                </pic:pic>
              </a:graphicData>
            </a:graphic>
          </wp:inline>
        </w:drawing>
      </w:r>
    </w:p>
    <w:p>
      <w:pPr>
        <w:numPr>
          <w:ilvl w:val="0"/>
          <w:numId w:val="0"/>
        </w:numPr>
        <w:jc w:val="left"/>
      </w:pPr>
    </w:p>
    <w:p>
      <w:pPr>
        <w:numPr>
          <w:ilvl w:val="0"/>
          <w:numId w:val="0"/>
        </w:numPr>
        <w:jc w:val="left"/>
      </w:pPr>
    </w:p>
    <w:p>
      <w:pPr>
        <w:numPr>
          <w:ilvl w:val="0"/>
          <w:numId w:val="0"/>
        </w:numPr>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附件二：评标专家日常考评细则</w:t>
      </w:r>
    </w:p>
    <w:p>
      <w:pPr>
        <w:numPr>
          <w:ilvl w:val="0"/>
          <w:numId w:val="0"/>
        </w:numPr>
        <w:jc w:val="left"/>
        <w:rPr>
          <w:rFonts w:hint="default" w:ascii="仿宋" w:hAnsi="仿宋" w:eastAsia="仿宋" w:cs="仿宋"/>
          <w:color w:val="000000"/>
          <w:kern w:val="0"/>
          <w:sz w:val="32"/>
          <w:szCs w:val="32"/>
          <w:lang w:val="en-US" w:eastAsia="zh-CN" w:bidi="ar"/>
        </w:rPr>
      </w:pPr>
    </w:p>
    <w:p>
      <w:pPr>
        <w:numPr>
          <w:ilvl w:val="0"/>
          <w:numId w:val="0"/>
        </w:numPr>
        <w:jc w:val="center"/>
        <w:rPr>
          <w:rFonts w:hint="eastAsia" w:ascii="仿宋" w:hAnsi="仿宋" w:eastAsia="仿宋" w:cs="仿宋"/>
          <w:color w:val="000000"/>
          <w:kern w:val="0"/>
          <w:sz w:val="32"/>
          <w:szCs w:val="32"/>
          <w:lang w:val="en-US" w:eastAsia="zh-CN" w:bidi="ar"/>
        </w:rPr>
      </w:pPr>
      <w:r>
        <w:drawing>
          <wp:inline distT="0" distB="0" distL="114300" distR="114300">
            <wp:extent cx="5272405" cy="5893435"/>
            <wp:effectExtent l="0" t="0" r="4445" b="1206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6"/>
                    <a:stretch>
                      <a:fillRect/>
                    </a:stretch>
                  </pic:blipFill>
                  <pic:spPr>
                    <a:xfrm>
                      <a:off x="0" y="0"/>
                      <a:ext cx="5272405" cy="5893435"/>
                    </a:xfrm>
                    <a:prstGeom prst="rect">
                      <a:avLst/>
                    </a:prstGeom>
                    <a:noFill/>
                    <a:ln w="9525">
                      <a:noFill/>
                      <a:miter/>
                    </a:ln>
                  </pic:spPr>
                </pic:pic>
              </a:graphicData>
            </a:graphic>
          </wp:inline>
        </w:drawing>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398921"/>
    <w:multiLevelType w:val="singleLevel"/>
    <w:tmpl w:val="293989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Y2M5MDY4ZDhjZTFiMzc1YTBlZTliNTcwNDc3ZTAifQ=="/>
  </w:docVars>
  <w:rsids>
    <w:rsidRoot w:val="00000000"/>
    <w:rsid w:val="08D555B1"/>
    <w:rsid w:val="0A0A1EAC"/>
    <w:rsid w:val="0AD20626"/>
    <w:rsid w:val="10FB4B91"/>
    <w:rsid w:val="130E2CF2"/>
    <w:rsid w:val="1C9B0535"/>
    <w:rsid w:val="241A4435"/>
    <w:rsid w:val="2D9D235F"/>
    <w:rsid w:val="2ED54722"/>
    <w:rsid w:val="330D2590"/>
    <w:rsid w:val="331221A6"/>
    <w:rsid w:val="374246D1"/>
    <w:rsid w:val="39141E16"/>
    <w:rsid w:val="39BD17FE"/>
    <w:rsid w:val="3F290B61"/>
    <w:rsid w:val="42661B4E"/>
    <w:rsid w:val="4723522B"/>
    <w:rsid w:val="497004D0"/>
    <w:rsid w:val="4D264557"/>
    <w:rsid w:val="53050030"/>
    <w:rsid w:val="541B4CF0"/>
    <w:rsid w:val="568C301D"/>
    <w:rsid w:val="56FA3026"/>
    <w:rsid w:val="5DE352BC"/>
    <w:rsid w:val="61D9565A"/>
    <w:rsid w:val="711870FD"/>
    <w:rsid w:val="75965473"/>
    <w:rsid w:val="79226841"/>
    <w:rsid w:val="79BE3672"/>
    <w:rsid w:val="7B9A0718"/>
    <w:rsid w:val="7D6804FA"/>
    <w:rsid w:val="7E7409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1267</Words>
  <Characters>1286</Characters>
  <Lines>0</Lines>
  <Paragraphs>0</Paragraphs>
  <TotalTime>57</TotalTime>
  <ScaleCrop>false</ScaleCrop>
  <LinksUpToDate>false</LinksUpToDate>
  <CharactersWithSpaces>1327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2022-07-19T05:49:00Z</dcterms:created>
  <dc:creator>adobee</dc:creator>
  <cp:lastModifiedBy>86139</cp:lastModifiedBy>
  <cp:lastPrinted>2022-07-25T08:02:00Z</cp:lastPrinted>
  <dcterms:modified xsi:type="dcterms:W3CDTF">2022-07-29T06:05:40Z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0D9335C1D8ED4624B335B64798D48778</vt:lpwstr>
  </property>
</Properties>
</file>